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03CA" w14:textId="3BAABB49" w:rsidR="009A1C7B" w:rsidRDefault="519C0E2D" w:rsidP="519C0E2D">
      <w:pPr>
        <w:spacing w:line="240" w:lineRule="auto"/>
        <w:jc w:val="right"/>
      </w:pPr>
      <w:r>
        <w:rPr>
          <w:noProof/>
        </w:rPr>
        <w:drawing>
          <wp:anchor distT="0" distB="0" distL="114300" distR="114300" simplePos="0" relativeHeight="251658240" behindDoc="1" locked="0" layoutInCell="1" allowOverlap="1" wp14:anchorId="19AF2A2F" wp14:editId="51251DD8">
            <wp:simplePos x="0" y="0"/>
            <wp:positionH relativeFrom="column">
              <wp:posOffset>3983525</wp:posOffset>
            </wp:positionH>
            <wp:positionV relativeFrom="paragraph">
              <wp:posOffset>-516048</wp:posOffset>
            </wp:positionV>
            <wp:extent cx="1724025" cy="971550"/>
            <wp:effectExtent l="0" t="0" r="0" b="0"/>
            <wp:wrapNone/>
            <wp:docPr id="1538244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44114" name="Picture 1538244114"/>
                    <pic:cNvPicPr/>
                  </pic:nvPicPr>
                  <pic:blipFill>
                    <a:blip r:embed="rId12">
                      <a:extLst>
                        <a:ext uri="{28A0092B-C50C-407E-A947-70E740481C1C}">
                          <a14:useLocalDpi xmlns:a14="http://schemas.microsoft.com/office/drawing/2010/main"/>
                        </a:ext>
                      </a:extLst>
                    </a:blip>
                    <a:stretch>
                      <a:fillRect/>
                    </a:stretch>
                  </pic:blipFill>
                  <pic:spPr>
                    <a:xfrm>
                      <a:off x="0" y="0"/>
                      <a:ext cx="1724025" cy="971550"/>
                    </a:xfrm>
                    <a:prstGeom prst="rect">
                      <a:avLst/>
                    </a:prstGeom>
                  </pic:spPr>
                </pic:pic>
              </a:graphicData>
            </a:graphic>
            <wp14:sizeRelH relativeFrom="page">
              <wp14:pctWidth>0</wp14:pctWidth>
            </wp14:sizeRelH>
            <wp14:sizeRelV relativeFrom="page">
              <wp14:pctHeight>0</wp14:pctHeight>
            </wp14:sizeRelV>
          </wp:anchor>
        </w:drawing>
      </w:r>
    </w:p>
    <w:p w14:paraId="68781F84" w14:textId="77777777" w:rsidR="009A1C7B" w:rsidRDefault="009A1C7B">
      <w:pPr>
        <w:spacing w:before="240" w:after="200" w:line="240" w:lineRule="auto"/>
        <w:rPr>
          <w:sz w:val="20"/>
          <w:szCs w:val="20"/>
        </w:rPr>
      </w:pPr>
    </w:p>
    <w:p w14:paraId="47309D5B" w14:textId="7BC581CE" w:rsidR="009A1C7B" w:rsidRDefault="009A1C7B" w:rsidP="519C0E2D">
      <w:pPr>
        <w:spacing w:before="240" w:after="200" w:line="240" w:lineRule="auto"/>
        <w:rPr>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82"/>
        <w:gridCol w:w="6218"/>
      </w:tblGrid>
      <w:tr w:rsidR="519C0E2D" w14:paraId="04002597" w14:textId="77777777" w:rsidTr="519C0E2D">
        <w:trPr>
          <w:trHeight w:val="300"/>
        </w:trPr>
        <w:tc>
          <w:tcPr>
            <w:tcW w:w="9000" w:type="dxa"/>
            <w:gridSpan w:val="2"/>
            <w:tcMar>
              <w:left w:w="105" w:type="dxa"/>
              <w:right w:w="105" w:type="dxa"/>
            </w:tcMar>
          </w:tcPr>
          <w:p w14:paraId="5B1BBF1E" w14:textId="49D9E41D" w:rsidR="22833ECF" w:rsidRDefault="003A3B16" w:rsidP="519C0E2D">
            <w:pPr>
              <w:spacing w:after="160" w:line="259" w:lineRule="auto"/>
              <w:rPr>
                <w:b/>
                <w:bCs/>
                <w:color w:val="004461"/>
                <w:sz w:val="36"/>
                <w:szCs w:val="36"/>
              </w:rPr>
            </w:pPr>
            <w:r>
              <w:rPr>
                <w:b/>
                <w:bCs/>
                <w:color w:val="004461"/>
                <w:sz w:val="36"/>
                <w:szCs w:val="36"/>
              </w:rPr>
              <w:t xml:space="preserve">LEAD ENGINEER, SITE RELIABILITY </w:t>
            </w:r>
          </w:p>
        </w:tc>
      </w:tr>
      <w:tr w:rsidR="519C0E2D" w14:paraId="5EE000A9" w14:textId="77777777" w:rsidTr="001D493E">
        <w:trPr>
          <w:trHeight w:val="300"/>
        </w:trPr>
        <w:tc>
          <w:tcPr>
            <w:tcW w:w="2782" w:type="dxa"/>
            <w:tcMar>
              <w:left w:w="105" w:type="dxa"/>
              <w:right w:w="105" w:type="dxa"/>
            </w:tcMar>
          </w:tcPr>
          <w:p w14:paraId="317A25B5" w14:textId="1D81DE11" w:rsidR="519C0E2D" w:rsidRDefault="519C0E2D" w:rsidP="519C0E2D">
            <w:pPr>
              <w:spacing w:after="160" w:line="259" w:lineRule="auto"/>
              <w:rPr>
                <w:color w:val="000000" w:themeColor="text1"/>
              </w:rPr>
            </w:pPr>
            <w:r w:rsidRPr="519C0E2D">
              <w:rPr>
                <w:b/>
                <w:bCs/>
                <w:color w:val="000000" w:themeColor="text1"/>
              </w:rPr>
              <w:t>Location</w:t>
            </w:r>
          </w:p>
        </w:tc>
        <w:tc>
          <w:tcPr>
            <w:tcW w:w="6218" w:type="dxa"/>
            <w:tcMar>
              <w:left w:w="105" w:type="dxa"/>
              <w:right w:w="105" w:type="dxa"/>
            </w:tcMar>
          </w:tcPr>
          <w:p w14:paraId="307C33D3" w14:textId="3AAAE662" w:rsidR="519C0E2D" w:rsidRDefault="519C0E2D" w:rsidP="519C0E2D">
            <w:pPr>
              <w:spacing w:after="160" w:line="259" w:lineRule="auto"/>
              <w:rPr>
                <w:color w:val="000000" w:themeColor="text1"/>
              </w:rPr>
            </w:pPr>
            <w:r w:rsidRPr="519C0E2D">
              <w:rPr>
                <w:color w:val="000000" w:themeColor="text1"/>
              </w:rPr>
              <w:t xml:space="preserve">Amsterdam </w:t>
            </w:r>
          </w:p>
        </w:tc>
      </w:tr>
      <w:tr w:rsidR="519C0E2D" w14:paraId="078D82BB" w14:textId="77777777" w:rsidTr="001D493E">
        <w:trPr>
          <w:trHeight w:val="300"/>
        </w:trPr>
        <w:tc>
          <w:tcPr>
            <w:tcW w:w="2782" w:type="dxa"/>
            <w:tcMar>
              <w:left w:w="105" w:type="dxa"/>
              <w:right w:w="105" w:type="dxa"/>
            </w:tcMar>
          </w:tcPr>
          <w:p w14:paraId="266099AF" w14:textId="1DC065FF" w:rsidR="519C0E2D" w:rsidRDefault="519C0E2D" w:rsidP="519C0E2D">
            <w:pPr>
              <w:spacing w:after="160" w:line="259" w:lineRule="auto"/>
              <w:rPr>
                <w:color w:val="000000" w:themeColor="text1"/>
              </w:rPr>
            </w:pPr>
            <w:r w:rsidRPr="519C0E2D">
              <w:rPr>
                <w:b/>
                <w:bCs/>
                <w:color w:val="000000" w:themeColor="text1"/>
              </w:rPr>
              <w:t>Reports to</w:t>
            </w:r>
          </w:p>
        </w:tc>
        <w:tc>
          <w:tcPr>
            <w:tcW w:w="6218" w:type="dxa"/>
            <w:tcMar>
              <w:left w:w="105" w:type="dxa"/>
              <w:right w:w="105" w:type="dxa"/>
            </w:tcMar>
          </w:tcPr>
          <w:p w14:paraId="2E7A2DCB" w14:textId="5C018D37" w:rsidR="519C0E2D" w:rsidRDefault="519C0E2D" w:rsidP="519C0E2D">
            <w:pPr>
              <w:spacing w:after="160" w:line="259" w:lineRule="auto"/>
              <w:rPr>
                <w:color w:val="000000" w:themeColor="text1"/>
              </w:rPr>
            </w:pPr>
            <w:r w:rsidRPr="519C0E2D">
              <w:rPr>
                <w:color w:val="000000" w:themeColor="text1"/>
              </w:rPr>
              <w:t xml:space="preserve">Chief </w:t>
            </w:r>
            <w:r w:rsidR="001126B0">
              <w:rPr>
                <w:color w:val="000000" w:themeColor="text1"/>
              </w:rPr>
              <w:t>Services</w:t>
            </w:r>
            <w:r w:rsidR="398A42C9" w:rsidRPr="519C0E2D">
              <w:rPr>
                <w:color w:val="000000" w:themeColor="text1"/>
              </w:rPr>
              <w:t xml:space="preserve"> </w:t>
            </w:r>
            <w:r w:rsidRPr="519C0E2D">
              <w:rPr>
                <w:color w:val="000000" w:themeColor="text1"/>
              </w:rPr>
              <w:t>Officer</w:t>
            </w:r>
          </w:p>
        </w:tc>
      </w:tr>
      <w:tr w:rsidR="519C0E2D" w14:paraId="281D9EE3" w14:textId="77777777" w:rsidTr="001D493E">
        <w:trPr>
          <w:trHeight w:val="300"/>
        </w:trPr>
        <w:tc>
          <w:tcPr>
            <w:tcW w:w="2782" w:type="dxa"/>
            <w:tcMar>
              <w:left w:w="105" w:type="dxa"/>
              <w:right w:w="105" w:type="dxa"/>
            </w:tcMar>
          </w:tcPr>
          <w:p w14:paraId="6A4B1447" w14:textId="126A8CDA" w:rsidR="519C0E2D" w:rsidRDefault="519C0E2D" w:rsidP="519C0E2D">
            <w:pPr>
              <w:spacing w:after="160" w:line="259" w:lineRule="auto"/>
              <w:rPr>
                <w:color w:val="000000" w:themeColor="text1"/>
              </w:rPr>
            </w:pPr>
            <w:r w:rsidRPr="519C0E2D">
              <w:rPr>
                <w:b/>
                <w:bCs/>
                <w:color w:val="000000" w:themeColor="text1"/>
              </w:rPr>
              <w:t>Hours</w:t>
            </w:r>
          </w:p>
        </w:tc>
        <w:tc>
          <w:tcPr>
            <w:tcW w:w="6218" w:type="dxa"/>
            <w:tcMar>
              <w:left w:w="105" w:type="dxa"/>
              <w:right w:w="105" w:type="dxa"/>
            </w:tcMar>
          </w:tcPr>
          <w:p w14:paraId="122FE846" w14:textId="7F24719F" w:rsidR="519C0E2D" w:rsidRDefault="519C0E2D" w:rsidP="519C0E2D">
            <w:pPr>
              <w:spacing w:after="160" w:line="259" w:lineRule="auto"/>
              <w:rPr>
                <w:color w:val="000000" w:themeColor="text1"/>
              </w:rPr>
            </w:pPr>
            <w:r w:rsidRPr="519C0E2D">
              <w:rPr>
                <w:color w:val="000000" w:themeColor="text1"/>
              </w:rPr>
              <w:t xml:space="preserve">Full time </w:t>
            </w:r>
          </w:p>
        </w:tc>
      </w:tr>
      <w:tr w:rsidR="519C0E2D" w14:paraId="19E7646D" w14:textId="77777777" w:rsidTr="001D493E">
        <w:trPr>
          <w:trHeight w:val="300"/>
        </w:trPr>
        <w:tc>
          <w:tcPr>
            <w:tcW w:w="2782" w:type="dxa"/>
            <w:tcMar>
              <w:left w:w="105" w:type="dxa"/>
              <w:right w:w="105" w:type="dxa"/>
            </w:tcMar>
          </w:tcPr>
          <w:p w14:paraId="7245849D" w14:textId="401BF054" w:rsidR="519C0E2D" w:rsidRDefault="519C0E2D" w:rsidP="519C0E2D">
            <w:pPr>
              <w:spacing w:after="160" w:line="259" w:lineRule="auto"/>
              <w:rPr>
                <w:color w:val="000000" w:themeColor="text1"/>
              </w:rPr>
            </w:pPr>
            <w:r w:rsidRPr="519C0E2D">
              <w:rPr>
                <w:b/>
                <w:bCs/>
                <w:color w:val="000000" w:themeColor="text1"/>
              </w:rPr>
              <w:t>Contract</w:t>
            </w:r>
          </w:p>
        </w:tc>
        <w:tc>
          <w:tcPr>
            <w:tcW w:w="6218" w:type="dxa"/>
            <w:tcMar>
              <w:left w:w="105" w:type="dxa"/>
              <w:right w:w="105" w:type="dxa"/>
            </w:tcMar>
          </w:tcPr>
          <w:p w14:paraId="7A97A107" w14:textId="6DA71BC3" w:rsidR="504EA64F" w:rsidRDefault="504EA64F" w:rsidP="519C0E2D">
            <w:pPr>
              <w:spacing w:after="160" w:line="256" w:lineRule="auto"/>
            </w:pPr>
            <w:r>
              <w:t>This is a permanent role. The role is offered in our Netherlands office as a 1-year definite contract with the possibility of an indefinite contract thereafter.</w:t>
            </w:r>
          </w:p>
        </w:tc>
      </w:tr>
    </w:tbl>
    <w:p w14:paraId="134F8A40" w14:textId="0052A97A" w:rsidR="009A1C7B" w:rsidRDefault="1C15A4AF" w:rsidP="519C0E2D">
      <w:pPr>
        <w:pStyle w:val="Heading1"/>
        <w:spacing w:before="240" w:after="200" w:line="240" w:lineRule="auto"/>
        <w:rPr>
          <w:sz w:val="22"/>
          <w:szCs w:val="22"/>
        </w:rPr>
      </w:pPr>
      <w:bookmarkStart w:id="0" w:name="_heading=h.2nlw0o2rmvr6"/>
      <w:bookmarkEnd w:id="0"/>
      <w:r w:rsidRPr="519C0E2D">
        <w:rPr>
          <w:sz w:val="22"/>
          <w:szCs w:val="22"/>
        </w:rPr>
        <w:t>Purpose and Context</w:t>
      </w:r>
    </w:p>
    <w:p w14:paraId="339CFFD6" w14:textId="77777777" w:rsidR="00EA78AA" w:rsidRDefault="001D493E" w:rsidP="00EA78AA">
      <w:pPr>
        <w:spacing w:line="276" w:lineRule="auto"/>
      </w:pPr>
      <w:r>
        <w:t>Reporting into</w:t>
      </w:r>
      <w:r w:rsidR="001126B0">
        <w:t xml:space="preserve"> the Chief Services Officer.</w:t>
      </w:r>
      <w:r>
        <w:t xml:space="preserve"> </w:t>
      </w:r>
      <w:r w:rsidR="00865D65">
        <w:t xml:space="preserve">This role is a member of the Trust and Identity (T&amp;I) team within the CSO. </w:t>
      </w:r>
    </w:p>
    <w:p w14:paraId="51EE0D9E" w14:textId="77777777" w:rsidR="00EA78AA" w:rsidRDefault="00EA78AA" w:rsidP="00EA78AA">
      <w:pPr>
        <w:spacing w:line="276" w:lineRule="auto"/>
      </w:pPr>
    </w:p>
    <w:p w14:paraId="6D777471" w14:textId="290F7AFD" w:rsidR="009A1C7B" w:rsidRDefault="00865D65" w:rsidP="00EA78AA">
      <w:pPr>
        <w:spacing w:line="276" w:lineRule="auto"/>
      </w:pPr>
      <w:r>
        <w:t>The T&amp;I team is responsible for enabling advanced IAM/AAI services at the European and International level. The team currently delivers services to national and pan-European Research Infrastructures, to the European Open Science Cloud, to EuroHPC systems and to student mobility programmes (e.g. Erasmus), enabling millions of users to access critical research and educational services and resources.</w:t>
      </w:r>
    </w:p>
    <w:p w14:paraId="1ABAFFED" w14:textId="77777777" w:rsidR="009A1C7B" w:rsidRDefault="009A1C7B">
      <w:pPr>
        <w:spacing w:line="240" w:lineRule="auto"/>
      </w:pPr>
    </w:p>
    <w:p w14:paraId="00E172BA" w14:textId="646CAE39" w:rsidR="003E4B5A" w:rsidRDefault="1C15A4AF" w:rsidP="519C0E2D">
      <w:pPr>
        <w:pStyle w:val="Heading1"/>
        <w:rPr>
          <w:sz w:val="22"/>
          <w:szCs w:val="22"/>
        </w:rPr>
      </w:pPr>
      <w:bookmarkStart w:id="1" w:name="_heading=h.q72nemr3spe"/>
      <w:bookmarkEnd w:id="1"/>
      <w:r w:rsidRPr="519C0E2D">
        <w:rPr>
          <w:sz w:val="22"/>
          <w:szCs w:val="22"/>
        </w:rPr>
        <w:t>Role Accountabilities</w:t>
      </w:r>
      <w:bookmarkStart w:id="2" w:name="_heading=h.3zpmqroq49fk"/>
      <w:bookmarkEnd w:id="2"/>
    </w:p>
    <w:p w14:paraId="264DBF9A" w14:textId="77777777" w:rsidR="003E4B5A" w:rsidRPr="00EA78AA" w:rsidRDefault="774C9343" w:rsidP="00EA78AA">
      <w:pPr>
        <w:pStyle w:val="Heading2"/>
        <w:keepNext w:val="0"/>
        <w:keepLines w:val="0"/>
        <w:spacing w:before="280" w:after="80" w:line="360" w:lineRule="auto"/>
        <w:rPr>
          <w:color w:val="0F4761"/>
          <w:sz w:val="22"/>
          <w:szCs w:val="22"/>
          <w:u w:val="single"/>
        </w:rPr>
      </w:pPr>
      <w:r w:rsidRPr="00EA78AA">
        <w:rPr>
          <w:color w:val="0F4761"/>
          <w:sz w:val="22"/>
          <w:szCs w:val="22"/>
          <w:u w:val="single"/>
        </w:rPr>
        <w:t>Leadership Philosophy</w:t>
      </w:r>
    </w:p>
    <w:p w14:paraId="0FBC465F" w14:textId="77777777" w:rsidR="003E4B5A" w:rsidRDefault="774C9343" w:rsidP="00EA78AA">
      <w:pPr>
        <w:spacing w:before="240" w:after="240" w:line="276" w:lineRule="auto"/>
      </w:pPr>
      <w:r w:rsidRPr="519C0E2D">
        <w:t>Team leads within the T&amp;I stream operate under a working leadership model, where they contribute as active team members while dedicating up to 20% of their time to leadership and people development activities. This approach ensures leads remain technically current and connected to the day-to-day challenges their teams face, while providing essential support for team growth and performance.</w:t>
      </w:r>
    </w:p>
    <w:p w14:paraId="44E472AB" w14:textId="568F7CC1" w:rsidR="003E4B5A" w:rsidRPr="00EA78AA" w:rsidRDefault="774C9343" w:rsidP="00EA78AA">
      <w:pPr>
        <w:pStyle w:val="Heading2"/>
        <w:spacing w:before="240" w:after="240" w:line="360" w:lineRule="auto"/>
        <w:rPr>
          <w:color w:val="0F4761"/>
          <w:sz w:val="22"/>
          <w:szCs w:val="22"/>
          <w:u w:val="single"/>
        </w:rPr>
      </w:pPr>
      <w:bookmarkStart w:id="3" w:name="_6ex73899dfjv"/>
      <w:bookmarkEnd w:id="3"/>
      <w:r w:rsidRPr="00EA78AA">
        <w:rPr>
          <w:color w:val="0F4761"/>
          <w:sz w:val="22"/>
          <w:szCs w:val="22"/>
          <w:u w:val="single"/>
        </w:rPr>
        <w:t>Matrix Organi</w:t>
      </w:r>
      <w:r w:rsidR="00EA78AA" w:rsidRPr="00EA78AA">
        <w:rPr>
          <w:color w:val="0F4761"/>
          <w:sz w:val="22"/>
          <w:szCs w:val="22"/>
          <w:u w:val="single"/>
        </w:rPr>
        <w:t>s</w:t>
      </w:r>
      <w:r w:rsidRPr="00EA78AA">
        <w:rPr>
          <w:color w:val="0F4761"/>
          <w:sz w:val="22"/>
          <w:szCs w:val="22"/>
          <w:u w:val="single"/>
        </w:rPr>
        <w:t>ation Structure</w:t>
      </w:r>
    </w:p>
    <w:p w14:paraId="0B0FE0E4" w14:textId="77777777" w:rsidR="00335052" w:rsidRDefault="774C9343" w:rsidP="00922907">
      <w:pPr>
        <w:spacing w:before="240" w:after="240" w:line="276" w:lineRule="auto"/>
      </w:pPr>
      <w:r w:rsidRPr="519C0E2D">
        <w:t xml:space="preserve">The T&amp;I team operates within a matrix organisational model that balances functional expertise with cross-functional collaboration. In this structure, team members have clear HR reporting lines to their functional team leads (Software Development Lead, SRE Lead, Customer Support Lead, Project and Delivery Lead) while receiving technical direction from the Engineering Lead and business direction from the Head of T&amp;I. </w:t>
      </w:r>
    </w:p>
    <w:p w14:paraId="7B334B57" w14:textId="5516D105" w:rsidR="003E4B5A" w:rsidRPr="00182F5F" w:rsidRDefault="774C9343" w:rsidP="00922907">
      <w:pPr>
        <w:spacing w:line="276" w:lineRule="auto"/>
      </w:pPr>
      <w:r w:rsidRPr="00182F5F">
        <w:t>Additionally, delivery managers are embedded within the</w:t>
      </w:r>
      <w:r w:rsidR="00335052" w:rsidRPr="00182F5F">
        <w:t xml:space="preserve"> </w:t>
      </w:r>
      <w:r w:rsidRPr="00182F5F">
        <w:t>engineering teams to provide speciali</w:t>
      </w:r>
      <w:r w:rsidR="00922907">
        <w:t>s</w:t>
      </w:r>
      <w:r w:rsidRPr="00182F5F">
        <w:t xml:space="preserve">ed project management support, creating dual accountability for both functional excellence and project delivery. This matrix approach enables the T&amp;I Stream to leverage specialized skills while maintaining flexibility to respond to changing project needs and customer requirements. </w:t>
      </w:r>
    </w:p>
    <w:p w14:paraId="79DE3180" w14:textId="77777777" w:rsidR="003E4B5A" w:rsidRDefault="774C9343" w:rsidP="00922907">
      <w:pPr>
        <w:spacing w:before="240" w:after="240" w:line="276" w:lineRule="auto"/>
      </w:pPr>
      <w:r w:rsidRPr="519C0E2D">
        <w:t>Team leads must coordinate closely with other leads and the Head of T&amp;I to ensure alignment across reporting relationships and avoid conflicts in priorities or resource allocation.</w:t>
      </w:r>
    </w:p>
    <w:p w14:paraId="5C1E0717" w14:textId="77777777" w:rsidR="003E4B5A" w:rsidRPr="00922907" w:rsidRDefault="774C9343" w:rsidP="519C0E2D">
      <w:pPr>
        <w:pStyle w:val="Heading2"/>
        <w:keepNext w:val="0"/>
        <w:keepLines w:val="0"/>
        <w:spacing w:before="280" w:after="80" w:line="360" w:lineRule="auto"/>
        <w:rPr>
          <w:color w:val="0F4761"/>
          <w:sz w:val="22"/>
          <w:szCs w:val="22"/>
          <w:u w:val="single"/>
        </w:rPr>
      </w:pPr>
      <w:bookmarkStart w:id="4" w:name="_23utzveoqz1l"/>
      <w:bookmarkEnd w:id="4"/>
      <w:r w:rsidRPr="00922907">
        <w:rPr>
          <w:color w:val="0F4761"/>
          <w:sz w:val="22"/>
          <w:szCs w:val="22"/>
          <w:u w:val="single"/>
        </w:rPr>
        <w:t>Team Leadership Responsibilities</w:t>
      </w:r>
    </w:p>
    <w:p w14:paraId="0702E67C" w14:textId="77777777" w:rsidR="003E4B5A" w:rsidRPr="00922907" w:rsidRDefault="774C9343" w:rsidP="00922907">
      <w:pPr>
        <w:spacing w:before="240" w:after="240" w:line="276" w:lineRule="auto"/>
        <w:rPr>
          <w:rFonts w:asciiTheme="majorHAnsi" w:hAnsiTheme="majorHAnsi" w:cstheme="majorHAnsi"/>
          <w:b/>
          <w:bCs/>
        </w:rPr>
      </w:pPr>
      <w:r w:rsidRPr="00922907">
        <w:rPr>
          <w:rFonts w:asciiTheme="majorHAnsi" w:hAnsiTheme="majorHAnsi" w:cstheme="majorHAnsi"/>
          <w:b/>
          <w:bCs/>
        </w:rPr>
        <w:t>People Development and Growth</w:t>
      </w:r>
    </w:p>
    <w:p w14:paraId="1550D075" w14:textId="77777777" w:rsidR="003E4B5A" w:rsidRPr="00922907" w:rsidRDefault="774C9343" w:rsidP="00922907">
      <w:pPr>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line="276" w:lineRule="auto"/>
        <w:jc w:val="left"/>
        <w:rPr>
          <w:rFonts w:asciiTheme="majorHAnsi" w:hAnsiTheme="majorHAnsi" w:cstheme="majorHAnsi"/>
        </w:rPr>
      </w:pPr>
      <w:r w:rsidRPr="00922907">
        <w:rPr>
          <w:rFonts w:asciiTheme="majorHAnsi" w:hAnsiTheme="majorHAnsi" w:cstheme="majorHAnsi"/>
          <w:b/>
          <w:bCs/>
        </w:rPr>
        <w:t>Career Development Coordination:</w:t>
      </w:r>
      <w:r w:rsidRPr="00922907">
        <w:rPr>
          <w:rFonts w:asciiTheme="majorHAnsi" w:hAnsiTheme="majorHAnsi" w:cstheme="majorHAnsi"/>
        </w:rPr>
        <w:t xml:space="preserve"> Work closely with the Head of Trust and Identity to design and implement individual career development plans for each team member</w:t>
      </w:r>
    </w:p>
    <w:p w14:paraId="5859CED3" w14:textId="77777777" w:rsidR="003E4B5A" w:rsidRPr="00922907" w:rsidRDefault="774C9343" w:rsidP="00922907">
      <w:pPr>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rPr>
          <w:rFonts w:asciiTheme="majorHAnsi" w:hAnsiTheme="majorHAnsi" w:cstheme="majorHAnsi"/>
        </w:rPr>
      </w:pPr>
      <w:r w:rsidRPr="00922907">
        <w:rPr>
          <w:rFonts w:asciiTheme="majorHAnsi" w:hAnsiTheme="majorHAnsi" w:cstheme="majorHAnsi"/>
          <w:b/>
          <w:bCs/>
        </w:rPr>
        <w:t>Learning Programme Implementation:</w:t>
      </w:r>
      <w:r w:rsidRPr="00922907">
        <w:rPr>
          <w:rFonts w:asciiTheme="majorHAnsi" w:hAnsiTheme="majorHAnsi" w:cstheme="majorHAnsi"/>
        </w:rPr>
        <w:t xml:space="preserve"> Execute organizational learning initiatives and identify team-specific training needs</w:t>
      </w:r>
    </w:p>
    <w:p w14:paraId="086068F2" w14:textId="77777777" w:rsidR="003E4B5A" w:rsidRPr="00922907" w:rsidRDefault="774C9343" w:rsidP="00922907">
      <w:pPr>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rPr>
          <w:rFonts w:asciiTheme="majorHAnsi" w:hAnsiTheme="majorHAnsi" w:cstheme="majorHAnsi"/>
        </w:rPr>
      </w:pPr>
      <w:r w:rsidRPr="00922907">
        <w:rPr>
          <w:rFonts w:asciiTheme="majorHAnsi" w:hAnsiTheme="majorHAnsi" w:cstheme="majorHAnsi"/>
          <w:b/>
          <w:bCs/>
        </w:rPr>
        <w:t>Knowledge Gap Analysis:</w:t>
      </w:r>
      <w:r w:rsidRPr="00922907">
        <w:rPr>
          <w:rFonts w:asciiTheme="majorHAnsi" w:hAnsiTheme="majorHAnsi" w:cstheme="majorHAnsi"/>
        </w:rPr>
        <w:t xml:space="preserve"> Regularly assess individual and team competencies, identifying skill gaps and creating targeted development plans</w:t>
      </w:r>
    </w:p>
    <w:p w14:paraId="75A6BBCA" w14:textId="77777777" w:rsidR="003E4B5A" w:rsidRPr="00922907" w:rsidRDefault="774C9343" w:rsidP="00922907">
      <w:pPr>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rPr>
          <w:rFonts w:asciiTheme="majorHAnsi" w:hAnsiTheme="majorHAnsi" w:cstheme="majorHAnsi"/>
        </w:rPr>
      </w:pPr>
      <w:r w:rsidRPr="00922907">
        <w:rPr>
          <w:rFonts w:asciiTheme="majorHAnsi" w:hAnsiTheme="majorHAnsi" w:cstheme="majorHAnsi"/>
          <w:b/>
          <w:bCs/>
        </w:rPr>
        <w:t>Mentorship and Coaching:</w:t>
      </w:r>
      <w:r w:rsidRPr="00922907">
        <w:rPr>
          <w:rFonts w:asciiTheme="majorHAnsi" w:hAnsiTheme="majorHAnsi" w:cstheme="majorHAnsi"/>
        </w:rPr>
        <w:t xml:space="preserve"> Provide ongoing technical and professional guidance to help team members advance in their roles</w:t>
      </w:r>
    </w:p>
    <w:p w14:paraId="187F3736" w14:textId="77777777" w:rsidR="003E4B5A" w:rsidRPr="00922907" w:rsidRDefault="003E4B5A" w:rsidP="00922907">
      <w:pPr>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276" w:lineRule="auto"/>
        <w:jc w:val="left"/>
        <w:rPr>
          <w:rFonts w:asciiTheme="majorHAnsi" w:hAnsiTheme="majorHAnsi" w:cstheme="majorHAnsi"/>
        </w:rPr>
      </w:pPr>
      <w:r w:rsidRPr="00922907">
        <w:rPr>
          <w:rFonts w:asciiTheme="majorHAnsi" w:hAnsiTheme="majorHAnsi" w:cstheme="majorHAnsi"/>
          <w:b/>
        </w:rPr>
        <w:t>Performance Support:</w:t>
      </w:r>
      <w:r w:rsidRPr="00922907">
        <w:rPr>
          <w:rFonts w:asciiTheme="majorHAnsi" w:hAnsiTheme="majorHAnsi" w:cstheme="majorHAnsi"/>
        </w:rPr>
        <w:t xml:space="preserve"> Collaborate with the Head of T&amp;I on performance evaluations, goal setting, and professional development milestones</w:t>
      </w:r>
    </w:p>
    <w:p w14:paraId="6375CBA3" w14:textId="77777777" w:rsidR="003E4B5A" w:rsidRDefault="774C9343" w:rsidP="00922907">
      <w:pPr>
        <w:spacing w:before="240" w:after="240" w:line="276" w:lineRule="auto"/>
      </w:pPr>
      <w:r w:rsidRPr="519C0E2D">
        <w:rPr>
          <w:b/>
          <w:bCs/>
        </w:rPr>
        <w:t>Team Coordination and Communication</w:t>
      </w:r>
    </w:p>
    <w:p w14:paraId="39120ED2" w14:textId="77777777" w:rsidR="003E4B5A" w:rsidRDefault="774C9343" w:rsidP="00922907">
      <w:pPr>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line="276" w:lineRule="auto"/>
        <w:jc w:val="left"/>
      </w:pPr>
      <w:r w:rsidRPr="519C0E2D">
        <w:rPr>
          <w:b/>
          <w:bCs/>
        </w:rPr>
        <w:t>Stakeholder Interface:</w:t>
      </w:r>
      <w:r w:rsidRPr="519C0E2D">
        <w:t xml:space="preserve"> Serve as the primary point of contact for team-related HR matters</w:t>
      </w:r>
    </w:p>
    <w:p w14:paraId="04CF69A1" w14:textId="77777777" w:rsidR="003E4B5A" w:rsidRDefault="774C9343" w:rsidP="00922907">
      <w:pPr>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pPr>
      <w:r w:rsidRPr="519C0E2D">
        <w:rPr>
          <w:b/>
          <w:bCs/>
        </w:rPr>
        <w:t>Knowledge Sharing:</w:t>
      </w:r>
      <w:r w:rsidRPr="519C0E2D">
        <w:t xml:space="preserve"> Promote knowledge transfer within the team and across the organization</w:t>
      </w:r>
    </w:p>
    <w:p w14:paraId="24140913" w14:textId="77777777" w:rsidR="003E4B5A" w:rsidRDefault="774C9343" w:rsidP="00922907">
      <w:pPr>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276" w:lineRule="auto"/>
        <w:jc w:val="left"/>
      </w:pPr>
      <w:r w:rsidRPr="519C0E2D">
        <w:rPr>
          <w:b/>
          <w:bCs/>
        </w:rPr>
        <w:t>Team Health Monitoring:</w:t>
      </w:r>
      <w:r w:rsidRPr="519C0E2D">
        <w:t xml:space="preserve"> Identify and address team dynamics, workload distribution, and potential burnout risks</w:t>
      </w:r>
    </w:p>
    <w:p w14:paraId="2FACF199" w14:textId="77777777" w:rsidR="003E4B5A" w:rsidRDefault="774C9343" w:rsidP="00922907">
      <w:pPr>
        <w:spacing w:before="240" w:after="240" w:line="276" w:lineRule="auto"/>
        <w:rPr>
          <w:b/>
          <w:bCs/>
        </w:rPr>
      </w:pPr>
      <w:r w:rsidRPr="519C0E2D">
        <w:rPr>
          <w:b/>
          <w:bCs/>
        </w:rPr>
        <w:t>Technical and Operational Excellence</w:t>
      </w:r>
    </w:p>
    <w:p w14:paraId="18BD504D" w14:textId="77777777" w:rsidR="003E4B5A" w:rsidRDefault="774C9343" w:rsidP="00922907">
      <w:pPr>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line="276" w:lineRule="auto"/>
        <w:jc w:val="left"/>
      </w:pPr>
      <w:r w:rsidRPr="519C0E2D">
        <w:rPr>
          <w:b/>
          <w:bCs/>
        </w:rPr>
        <w:t>Quality Assurance:</w:t>
      </w:r>
      <w:r w:rsidRPr="519C0E2D">
        <w:t xml:space="preserve"> Ensure team is equipped to deliver meeting organizational standards and technical requirements</w:t>
      </w:r>
    </w:p>
    <w:p w14:paraId="31BE6C05" w14:textId="77777777" w:rsidR="003E4B5A" w:rsidRDefault="774C9343" w:rsidP="00922907">
      <w:pPr>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pPr>
      <w:r w:rsidRPr="519C0E2D">
        <w:rPr>
          <w:b/>
          <w:bCs/>
        </w:rPr>
        <w:t>Process Improvement:</w:t>
      </w:r>
      <w:r w:rsidRPr="519C0E2D">
        <w:t xml:space="preserve"> Identify opportunities to enhance team efficiency and effectiveness</w:t>
      </w:r>
    </w:p>
    <w:p w14:paraId="7142D1AE" w14:textId="77777777" w:rsidR="003E4B5A" w:rsidRDefault="774C9343" w:rsidP="00922907">
      <w:pPr>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76" w:lineRule="auto"/>
        <w:jc w:val="left"/>
      </w:pPr>
      <w:r w:rsidRPr="519C0E2D">
        <w:rPr>
          <w:b/>
          <w:bCs/>
        </w:rPr>
        <w:t>Resource Planning:</w:t>
      </w:r>
      <w:r w:rsidRPr="519C0E2D">
        <w:t xml:space="preserve"> Coordinate with the Head of T&amp;I on resource allocation and capacity planning</w:t>
      </w:r>
    </w:p>
    <w:p w14:paraId="2B73068F" w14:textId="77777777" w:rsidR="003E4B5A" w:rsidRDefault="774C9343" w:rsidP="519C0E2D">
      <w:pPr>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360" w:lineRule="auto"/>
        <w:jc w:val="left"/>
      </w:pPr>
      <w:r w:rsidRPr="519C0E2D">
        <w:rPr>
          <w:b/>
          <w:bCs/>
        </w:rPr>
        <w:t>Risk Management:</w:t>
      </w:r>
      <w:r w:rsidRPr="519C0E2D">
        <w:t xml:space="preserve"> Proactively identify and mitigate risks that could impact team performance or deliverables.</w:t>
      </w:r>
    </w:p>
    <w:p w14:paraId="55EDFE9D" w14:textId="77777777" w:rsidR="003E4B5A" w:rsidRPr="003E4B5A" w:rsidRDefault="003E4B5A" w:rsidP="519C0E2D"/>
    <w:p w14:paraId="2DADFF56" w14:textId="77777777" w:rsidR="003E4B5A" w:rsidRDefault="003E4B5A" w:rsidP="519C0E2D">
      <w:pPr>
        <w:pStyle w:val="Heading2"/>
        <w:rPr>
          <w:sz w:val="22"/>
          <w:szCs w:val="22"/>
        </w:rPr>
      </w:pPr>
    </w:p>
    <w:p w14:paraId="6F78CFFC" w14:textId="63FAF5A1" w:rsidR="009A1C7B" w:rsidRDefault="1C15A4AF" w:rsidP="00922907">
      <w:pPr>
        <w:pStyle w:val="Heading2"/>
        <w:spacing w:line="276" w:lineRule="auto"/>
        <w:rPr>
          <w:sz w:val="22"/>
          <w:szCs w:val="22"/>
        </w:rPr>
      </w:pPr>
      <w:r w:rsidRPr="519C0E2D">
        <w:rPr>
          <w:sz w:val="22"/>
          <w:szCs w:val="22"/>
        </w:rPr>
        <w:t>Platform Reliability &amp; Operations</w:t>
      </w:r>
    </w:p>
    <w:p w14:paraId="08CFF973" w14:textId="77777777" w:rsidR="009A1C7B" w:rsidRDefault="1C15A4AF" w:rsidP="00922907">
      <w:pPr>
        <w:numPr>
          <w:ilvl w:val="0"/>
          <w:numId w:val="10"/>
        </w:numPr>
        <w:pBdr>
          <w:top w:val="nil"/>
          <w:left w:val="nil"/>
          <w:bottom w:val="nil"/>
          <w:right w:val="nil"/>
          <w:between w:val="nil"/>
        </w:pBdr>
        <w:spacing w:after="120" w:line="276" w:lineRule="auto"/>
      </w:pPr>
      <w:r w:rsidRPr="519C0E2D">
        <w:t>Maintain 99.9%+ uptime for critical IAM services including authentication, authorization, and user management systems</w:t>
      </w:r>
    </w:p>
    <w:p w14:paraId="2DA170D8" w14:textId="77777777" w:rsidR="009A1C7B" w:rsidRDefault="1C15A4AF" w:rsidP="00922907">
      <w:pPr>
        <w:numPr>
          <w:ilvl w:val="0"/>
          <w:numId w:val="10"/>
        </w:numPr>
        <w:pBdr>
          <w:top w:val="nil"/>
          <w:left w:val="nil"/>
          <w:bottom w:val="nil"/>
          <w:right w:val="nil"/>
          <w:between w:val="nil"/>
        </w:pBdr>
        <w:spacing w:after="120" w:line="276" w:lineRule="auto"/>
      </w:pPr>
      <w:r w:rsidRPr="519C0E2D">
        <w:t>Design and implement comprehensive monitoring, alerting, and observability solutions for identity services</w:t>
      </w:r>
    </w:p>
    <w:p w14:paraId="2572CD8F" w14:textId="77777777" w:rsidR="009A1C7B" w:rsidRDefault="1C15A4AF" w:rsidP="00922907">
      <w:pPr>
        <w:numPr>
          <w:ilvl w:val="0"/>
          <w:numId w:val="10"/>
        </w:numPr>
        <w:pBdr>
          <w:top w:val="nil"/>
          <w:left w:val="nil"/>
          <w:bottom w:val="nil"/>
          <w:right w:val="nil"/>
          <w:between w:val="nil"/>
        </w:pBdr>
        <w:spacing w:after="120" w:line="276" w:lineRule="auto"/>
      </w:pPr>
      <w:r w:rsidRPr="519C0E2D">
        <w:t>Conduct thorough incident response, root cause analysis, and post-mortem reviews across all network and application layer</w:t>
      </w:r>
    </w:p>
    <w:p w14:paraId="4044BE8A" w14:textId="77777777" w:rsidR="009A1C7B" w:rsidRDefault="1C15A4AF" w:rsidP="00922907">
      <w:pPr>
        <w:numPr>
          <w:ilvl w:val="0"/>
          <w:numId w:val="10"/>
        </w:numPr>
        <w:pBdr>
          <w:top w:val="nil"/>
          <w:left w:val="nil"/>
          <w:bottom w:val="nil"/>
          <w:right w:val="nil"/>
          <w:between w:val="nil"/>
        </w:pBdr>
        <w:spacing w:after="120" w:line="276" w:lineRule="auto"/>
      </w:pPr>
      <w:r w:rsidRPr="519C0E2D">
        <w:t>Develop and maintain disaster recovery and business continuity procedures</w:t>
      </w:r>
    </w:p>
    <w:p w14:paraId="284E9AF0" w14:textId="77777777" w:rsidR="009A1C7B" w:rsidRDefault="1C15A4AF" w:rsidP="00922907">
      <w:pPr>
        <w:numPr>
          <w:ilvl w:val="0"/>
          <w:numId w:val="10"/>
        </w:numPr>
        <w:pBdr>
          <w:top w:val="nil"/>
          <w:left w:val="nil"/>
          <w:bottom w:val="nil"/>
          <w:right w:val="nil"/>
          <w:between w:val="nil"/>
        </w:pBdr>
        <w:spacing w:after="120" w:line="276" w:lineRule="auto"/>
      </w:pPr>
      <w:r w:rsidRPr="519C0E2D">
        <w:t>Participate in on-call rotations to ensure incident handling and response and service availability</w:t>
      </w:r>
    </w:p>
    <w:p w14:paraId="6A9AA4C1" w14:textId="77777777" w:rsidR="009A1C7B" w:rsidRDefault="1C15A4AF" w:rsidP="00922907">
      <w:pPr>
        <w:pStyle w:val="Heading2"/>
        <w:keepNext w:val="0"/>
        <w:keepLines w:val="0"/>
        <w:spacing w:before="280" w:line="276" w:lineRule="auto"/>
        <w:rPr>
          <w:sz w:val="22"/>
          <w:szCs w:val="22"/>
        </w:rPr>
      </w:pPr>
      <w:bookmarkStart w:id="5" w:name="_heading=h.ijsfpwi2i850"/>
      <w:bookmarkEnd w:id="5"/>
      <w:r w:rsidRPr="519C0E2D">
        <w:rPr>
          <w:sz w:val="22"/>
          <w:szCs w:val="22"/>
        </w:rPr>
        <w:t>Infrastructure &amp; Automation</w:t>
      </w:r>
    </w:p>
    <w:p w14:paraId="49AF6976" w14:textId="77777777" w:rsidR="009A1C7B" w:rsidRDefault="1C15A4AF" w:rsidP="00922907">
      <w:pPr>
        <w:numPr>
          <w:ilvl w:val="0"/>
          <w:numId w:val="10"/>
        </w:numPr>
        <w:pBdr>
          <w:top w:val="nil"/>
          <w:left w:val="nil"/>
          <w:bottom w:val="nil"/>
          <w:right w:val="nil"/>
          <w:between w:val="nil"/>
        </w:pBdr>
        <w:spacing w:after="120" w:line="276" w:lineRule="auto"/>
      </w:pPr>
      <w:r w:rsidRPr="519C0E2D">
        <w:t>Design, deploy, and manage scalable IAM infrastructure using Infrastructure as Code principles</w:t>
      </w:r>
    </w:p>
    <w:p w14:paraId="696DBC8A" w14:textId="77777777" w:rsidR="009A1C7B" w:rsidRDefault="1C15A4AF" w:rsidP="00922907">
      <w:pPr>
        <w:numPr>
          <w:ilvl w:val="0"/>
          <w:numId w:val="10"/>
        </w:numPr>
        <w:pBdr>
          <w:top w:val="nil"/>
          <w:left w:val="nil"/>
          <w:bottom w:val="nil"/>
          <w:right w:val="nil"/>
          <w:between w:val="nil"/>
        </w:pBdr>
        <w:spacing w:after="120" w:line="276" w:lineRule="auto"/>
      </w:pPr>
      <w:r w:rsidRPr="519C0E2D">
        <w:t>Automate routine operational tasks, deployments, and system maintenance procedures</w:t>
      </w:r>
    </w:p>
    <w:p w14:paraId="31E6F0D2" w14:textId="77777777" w:rsidR="009A1C7B" w:rsidRDefault="1C15A4AF" w:rsidP="00922907">
      <w:pPr>
        <w:numPr>
          <w:ilvl w:val="0"/>
          <w:numId w:val="10"/>
        </w:numPr>
        <w:pBdr>
          <w:top w:val="nil"/>
          <w:left w:val="nil"/>
          <w:bottom w:val="nil"/>
          <w:right w:val="nil"/>
          <w:between w:val="nil"/>
        </w:pBdr>
        <w:spacing w:after="120" w:line="276" w:lineRule="auto"/>
      </w:pPr>
      <w:r w:rsidRPr="519C0E2D">
        <w:t>Build and maintain CI/CD pipelines optimized for security-sensitive IAM applications</w:t>
      </w:r>
    </w:p>
    <w:p w14:paraId="03B17758" w14:textId="77777777" w:rsidR="009A1C7B" w:rsidRDefault="1C15A4AF" w:rsidP="00922907">
      <w:pPr>
        <w:numPr>
          <w:ilvl w:val="0"/>
          <w:numId w:val="10"/>
        </w:numPr>
        <w:pBdr>
          <w:top w:val="nil"/>
          <w:left w:val="nil"/>
          <w:bottom w:val="nil"/>
          <w:right w:val="nil"/>
          <w:between w:val="nil"/>
        </w:pBdr>
        <w:spacing w:after="120" w:line="276" w:lineRule="auto"/>
      </w:pPr>
      <w:r w:rsidRPr="519C0E2D">
        <w:t>Implement configuration management and ensure consistent environments across dev, staging, and production</w:t>
      </w:r>
    </w:p>
    <w:p w14:paraId="4A3C1048" w14:textId="77777777" w:rsidR="009A1C7B" w:rsidRDefault="1C15A4AF" w:rsidP="00922907">
      <w:pPr>
        <w:numPr>
          <w:ilvl w:val="0"/>
          <w:numId w:val="10"/>
        </w:numPr>
        <w:pBdr>
          <w:top w:val="nil"/>
          <w:left w:val="nil"/>
          <w:bottom w:val="nil"/>
          <w:right w:val="nil"/>
          <w:between w:val="nil"/>
        </w:pBdr>
        <w:spacing w:after="120" w:line="276" w:lineRule="auto"/>
      </w:pPr>
      <w:r w:rsidRPr="519C0E2D">
        <w:t>Manage containerized workloads and orchestration platforms</w:t>
      </w:r>
    </w:p>
    <w:p w14:paraId="7D498586" w14:textId="77777777" w:rsidR="009A1C7B" w:rsidRDefault="1C15A4AF" w:rsidP="00922907">
      <w:pPr>
        <w:pStyle w:val="Heading2"/>
        <w:keepNext w:val="0"/>
        <w:keepLines w:val="0"/>
        <w:spacing w:before="280" w:line="276" w:lineRule="auto"/>
        <w:rPr>
          <w:sz w:val="22"/>
          <w:szCs w:val="22"/>
        </w:rPr>
      </w:pPr>
      <w:bookmarkStart w:id="6" w:name="_heading=h.824f18zhrmqz"/>
      <w:bookmarkEnd w:id="6"/>
      <w:r w:rsidRPr="519C0E2D">
        <w:rPr>
          <w:sz w:val="22"/>
          <w:szCs w:val="22"/>
        </w:rPr>
        <w:t>Security &amp; Compliance</w:t>
      </w:r>
    </w:p>
    <w:p w14:paraId="0894710D" w14:textId="77777777" w:rsidR="009A1C7B" w:rsidRDefault="1C15A4AF" w:rsidP="00922907">
      <w:pPr>
        <w:numPr>
          <w:ilvl w:val="0"/>
          <w:numId w:val="10"/>
        </w:numPr>
        <w:pBdr>
          <w:top w:val="nil"/>
          <w:left w:val="nil"/>
          <w:bottom w:val="nil"/>
          <w:right w:val="nil"/>
          <w:between w:val="nil"/>
        </w:pBdr>
        <w:spacing w:after="120" w:line="276" w:lineRule="auto"/>
      </w:pPr>
      <w:r w:rsidRPr="519C0E2D">
        <w:t>Implement security best practices for IAM infrastructure and applications</w:t>
      </w:r>
    </w:p>
    <w:p w14:paraId="41C1AD81" w14:textId="77777777" w:rsidR="009A1C7B" w:rsidRDefault="1C15A4AF" w:rsidP="00922907">
      <w:pPr>
        <w:numPr>
          <w:ilvl w:val="0"/>
          <w:numId w:val="10"/>
        </w:numPr>
        <w:pBdr>
          <w:top w:val="nil"/>
          <w:left w:val="nil"/>
          <w:bottom w:val="nil"/>
          <w:right w:val="nil"/>
          <w:between w:val="nil"/>
        </w:pBdr>
        <w:spacing w:after="120" w:line="276" w:lineRule="auto"/>
      </w:pPr>
      <w:r w:rsidRPr="519C0E2D">
        <w:t>Ensure compliance with security standards and regulatory requirements</w:t>
      </w:r>
    </w:p>
    <w:p w14:paraId="3E2A0707" w14:textId="77777777" w:rsidR="009A1C7B" w:rsidRDefault="1C15A4AF" w:rsidP="00922907">
      <w:pPr>
        <w:numPr>
          <w:ilvl w:val="0"/>
          <w:numId w:val="10"/>
        </w:numPr>
        <w:pBdr>
          <w:top w:val="nil"/>
          <w:left w:val="nil"/>
          <w:bottom w:val="nil"/>
          <w:right w:val="nil"/>
          <w:between w:val="nil"/>
        </w:pBdr>
        <w:spacing w:after="120" w:line="276" w:lineRule="auto"/>
      </w:pPr>
      <w:r w:rsidRPr="519C0E2D">
        <w:t>Conduct regular security assessments and vulnerability management</w:t>
      </w:r>
    </w:p>
    <w:p w14:paraId="6D5C7739" w14:textId="77777777" w:rsidR="009A1C7B" w:rsidRDefault="1C15A4AF" w:rsidP="00922907">
      <w:pPr>
        <w:numPr>
          <w:ilvl w:val="0"/>
          <w:numId w:val="10"/>
        </w:numPr>
        <w:pBdr>
          <w:top w:val="nil"/>
          <w:left w:val="nil"/>
          <w:bottom w:val="nil"/>
          <w:right w:val="nil"/>
          <w:between w:val="nil"/>
        </w:pBdr>
        <w:spacing w:after="120" w:line="276" w:lineRule="auto"/>
      </w:pPr>
      <w:r w:rsidRPr="519C0E2D">
        <w:t>Implement and maintain access controls, encryption, and audit logging</w:t>
      </w:r>
    </w:p>
    <w:p w14:paraId="0F56C430" w14:textId="7265EFEE" w:rsidR="009A1C7B" w:rsidRDefault="1C15A4AF" w:rsidP="00922907">
      <w:pPr>
        <w:numPr>
          <w:ilvl w:val="0"/>
          <w:numId w:val="10"/>
        </w:numPr>
        <w:pBdr>
          <w:top w:val="nil"/>
          <w:left w:val="nil"/>
          <w:bottom w:val="nil"/>
          <w:right w:val="nil"/>
          <w:between w:val="nil"/>
        </w:pBdr>
        <w:spacing w:after="120" w:line="276" w:lineRule="auto"/>
      </w:pPr>
      <w:r w:rsidRPr="519C0E2D">
        <w:t xml:space="preserve">Collaborate with security teams on threat </w:t>
      </w:r>
      <w:r w:rsidR="6E7ADAFC" w:rsidRPr="519C0E2D">
        <w:t>modelling</w:t>
      </w:r>
      <w:r w:rsidRPr="519C0E2D">
        <w:t xml:space="preserve"> and risk assessments</w:t>
      </w:r>
    </w:p>
    <w:p w14:paraId="0EB1304B" w14:textId="77777777" w:rsidR="009A1C7B" w:rsidRDefault="1C15A4AF" w:rsidP="00922907">
      <w:pPr>
        <w:pStyle w:val="Heading2"/>
        <w:keepNext w:val="0"/>
        <w:keepLines w:val="0"/>
        <w:spacing w:before="280" w:line="276" w:lineRule="auto"/>
        <w:rPr>
          <w:sz w:val="22"/>
          <w:szCs w:val="22"/>
        </w:rPr>
      </w:pPr>
      <w:bookmarkStart w:id="7" w:name="_heading=h.px3pyaionv3"/>
      <w:bookmarkEnd w:id="7"/>
      <w:r w:rsidRPr="519C0E2D">
        <w:rPr>
          <w:sz w:val="22"/>
          <w:szCs w:val="22"/>
        </w:rPr>
        <w:t>Performance &amp; Scalability</w:t>
      </w:r>
    </w:p>
    <w:p w14:paraId="3E967255" w14:textId="77777777" w:rsidR="009A1C7B" w:rsidRDefault="1C15A4AF" w:rsidP="00922907">
      <w:pPr>
        <w:numPr>
          <w:ilvl w:val="0"/>
          <w:numId w:val="10"/>
        </w:numPr>
        <w:pBdr>
          <w:top w:val="nil"/>
          <w:left w:val="nil"/>
          <w:bottom w:val="nil"/>
          <w:right w:val="nil"/>
          <w:between w:val="nil"/>
        </w:pBdr>
        <w:spacing w:after="120" w:line="276" w:lineRule="auto"/>
      </w:pPr>
      <w:r w:rsidRPr="519C0E2D">
        <w:t>Monitor system performance and capacity, implementing proactive scaling strategies</w:t>
      </w:r>
    </w:p>
    <w:p w14:paraId="2CACEC7D" w14:textId="77777777" w:rsidR="009A1C7B" w:rsidRDefault="1C15A4AF" w:rsidP="00922907">
      <w:pPr>
        <w:numPr>
          <w:ilvl w:val="0"/>
          <w:numId w:val="10"/>
        </w:numPr>
        <w:pBdr>
          <w:top w:val="nil"/>
          <w:left w:val="nil"/>
          <w:bottom w:val="nil"/>
          <w:right w:val="nil"/>
          <w:between w:val="nil"/>
        </w:pBdr>
        <w:spacing w:after="120" w:line="276" w:lineRule="auto"/>
      </w:pPr>
      <w:r w:rsidRPr="519C0E2D">
        <w:t>Optimize application and infrastructure performance to meet SLA requirements</w:t>
      </w:r>
    </w:p>
    <w:p w14:paraId="00F94770" w14:textId="77777777" w:rsidR="009A1C7B" w:rsidRDefault="1C15A4AF" w:rsidP="00922907">
      <w:pPr>
        <w:numPr>
          <w:ilvl w:val="0"/>
          <w:numId w:val="10"/>
        </w:numPr>
        <w:pBdr>
          <w:top w:val="nil"/>
          <w:left w:val="nil"/>
          <w:bottom w:val="nil"/>
          <w:right w:val="nil"/>
          <w:between w:val="nil"/>
        </w:pBdr>
        <w:spacing w:after="120" w:line="276" w:lineRule="auto"/>
      </w:pPr>
      <w:r w:rsidRPr="519C0E2D">
        <w:t>Design and implement load testing strategies for IAM services</w:t>
      </w:r>
    </w:p>
    <w:p w14:paraId="763646DC" w14:textId="74B88B02" w:rsidR="009A1C7B" w:rsidRDefault="6E7ADAFC" w:rsidP="00922907">
      <w:pPr>
        <w:numPr>
          <w:ilvl w:val="0"/>
          <w:numId w:val="10"/>
        </w:numPr>
        <w:pBdr>
          <w:top w:val="nil"/>
          <w:left w:val="nil"/>
          <w:bottom w:val="nil"/>
          <w:right w:val="nil"/>
          <w:between w:val="nil"/>
        </w:pBdr>
        <w:spacing w:after="120" w:line="276" w:lineRule="auto"/>
      </w:pPr>
      <w:r w:rsidRPr="519C0E2D">
        <w:t>Analyse system bottlenecks and implement performance improvements</w:t>
      </w:r>
    </w:p>
    <w:p w14:paraId="00EA0817" w14:textId="77777777" w:rsidR="00AC7DCA" w:rsidRDefault="00AC7DCA" w:rsidP="00AC7DCA">
      <w:pPr>
        <w:pBdr>
          <w:top w:val="nil"/>
          <w:left w:val="nil"/>
          <w:bottom w:val="nil"/>
          <w:right w:val="nil"/>
          <w:between w:val="nil"/>
        </w:pBdr>
        <w:spacing w:after="120" w:line="276" w:lineRule="auto"/>
        <w:rPr>
          <w:rStyle w:val="normaltextrun"/>
          <w:color w:val="000000"/>
          <w:shd w:val="clear" w:color="auto" w:fill="FFFFFF"/>
        </w:rPr>
      </w:pPr>
    </w:p>
    <w:p w14:paraId="210FDE82" w14:textId="09EA69D0" w:rsidR="00AC7DCA" w:rsidRDefault="00AC7DCA" w:rsidP="00AC7DCA">
      <w:pPr>
        <w:pBdr>
          <w:top w:val="nil"/>
          <w:left w:val="nil"/>
          <w:bottom w:val="nil"/>
          <w:right w:val="nil"/>
          <w:between w:val="nil"/>
        </w:pBdr>
        <w:spacing w:after="120" w:line="276" w:lineRule="auto"/>
      </w:pPr>
      <w:r>
        <w:rPr>
          <w:rStyle w:val="normaltextrun"/>
          <w:color w:val="000000"/>
          <w:shd w:val="clear" w:color="auto" w:fill="FFFFFF"/>
        </w:rPr>
        <w:t>Other duties as may reasonably be required.</w:t>
      </w:r>
      <w:r>
        <w:rPr>
          <w:rStyle w:val="eop"/>
          <w:color w:val="000000"/>
          <w:shd w:val="clear" w:color="auto" w:fill="FFFFFF"/>
        </w:rPr>
        <w:t> </w:t>
      </w:r>
    </w:p>
    <w:p w14:paraId="26EC43D3" w14:textId="7E29CBC7" w:rsidR="519C0E2D" w:rsidRDefault="519C0E2D" w:rsidP="00922907">
      <w:pPr>
        <w:pBdr>
          <w:top w:val="nil"/>
          <w:left w:val="nil"/>
          <w:bottom w:val="nil"/>
          <w:right w:val="nil"/>
          <w:between w:val="nil"/>
        </w:pBdr>
        <w:spacing w:after="120" w:line="276" w:lineRule="auto"/>
        <w:ind w:left="720"/>
      </w:pPr>
    </w:p>
    <w:p w14:paraId="1B496873" w14:textId="77777777" w:rsidR="009A1C7B" w:rsidRDefault="009A1C7B">
      <w:pPr>
        <w:spacing w:line="240" w:lineRule="auto"/>
        <w:rPr>
          <w:b/>
          <w:color w:val="004461"/>
        </w:rPr>
      </w:pPr>
    </w:p>
    <w:p w14:paraId="6A38D2D3" w14:textId="77777777" w:rsidR="009A1C7B" w:rsidRDefault="1C15A4AF" w:rsidP="519C0E2D">
      <w:pPr>
        <w:pStyle w:val="Heading1"/>
        <w:spacing w:after="120" w:line="240" w:lineRule="auto"/>
        <w:rPr>
          <w:sz w:val="22"/>
          <w:szCs w:val="22"/>
        </w:rPr>
      </w:pPr>
      <w:bookmarkStart w:id="8" w:name="_heading=h.g833rj5qjwfh"/>
      <w:bookmarkEnd w:id="8"/>
      <w:r w:rsidRPr="519C0E2D">
        <w:rPr>
          <w:sz w:val="22"/>
          <w:szCs w:val="22"/>
        </w:rPr>
        <w:t>Working Arrangements</w:t>
      </w:r>
    </w:p>
    <w:p w14:paraId="1F5EA3AD" w14:textId="2B74139F" w:rsidR="009A1C7B" w:rsidRDefault="00B71FE5" w:rsidP="00B71FE5">
      <w:pPr>
        <w:spacing w:line="276" w:lineRule="auto"/>
        <w:jc w:val="left"/>
      </w:pPr>
      <w:r>
        <w:rPr>
          <w:rStyle w:val="normaltextrun"/>
          <w:color w:val="000000"/>
          <w:shd w:val="clear" w:color="auto" w:fill="FFFFFF"/>
        </w:rPr>
        <w:t>For this role we anticipate that you will be required in the office at least 2 days per week. This requirement may change, and you may be required to attend the office on more days per week from time to time or on an on-going basis if the needs of the business change.</w:t>
      </w:r>
      <w:r>
        <w:rPr>
          <w:rStyle w:val="eop"/>
          <w:color w:val="000000"/>
          <w:shd w:val="clear" w:color="auto" w:fill="FFFFFF"/>
        </w:rPr>
        <w:t> </w:t>
      </w:r>
      <w:r>
        <w:rPr>
          <w:rStyle w:val="eop"/>
          <w:color w:val="000000"/>
          <w:shd w:val="clear" w:color="auto" w:fill="FFFFFF"/>
        </w:rPr>
        <w:br/>
      </w:r>
    </w:p>
    <w:p w14:paraId="0CB9E27E" w14:textId="77777777" w:rsidR="009A1C7B" w:rsidRDefault="1C15A4AF" w:rsidP="519C0E2D">
      <w:pPr>
        <w:pStyle w:val="Heading1"/>
        <w:spacing w:after="120" w:line="240" w:lineRule="auto"/>
        <w:rPr>
          <w:sz w:val="22"/>
          <w:szCs w:val="22"/>
        </w:rPr>
      </w:pPr>
      <w:bookmarkStart w:id="9" w:name="_heading=h.h513qaiknypi"/>
      <w:bookmarkEnd w:id="9"/>
      <w:r w:rsidRPr="519C0E2D">
        <w:rPr>
          <w:sz w:val="22"/>
          <w:szCs w:val="22"/>
        </w:rPr>
        <w:t>Business Travel</w:t>
      </w:r>
    </w:p>
    <w:p w14:paraId="5232A98E" w14:textId="77777777" w:rsidR="009A1C7B" w:rsidRDefault="1C15A4AF" w:rsidP="519C0E2D">
      <w:r w:rsidRPr="519C0E2D">
        <w:t>Occasional business travel may be required in this role. Travel will mainly be within Europe, but some worldwide travel may be required.</w:t>
      </w:r>
    </w:p>
    <w:p w14:paraId="1EF77AEC" w14:textId="1259A64A" w:rsidR="009A1C7B" w:rsidRDefault="009A1C7B" w:rsidP="00AC7DCA">
      <w:pPr>
        <w:spacing w:after="240" w:line="240" w:lineRule="auto"/>
        <w:jc w:val="left"/>
      </w:pPr>
    </w:p>
    <w:sectPr w:rsidR="009A1C7B">
      <w:headerReference w:type="default" r:id="rId13"/>
      <w:footerReference w:type="default" r:id="rId14"/>
      <w:headerReference w:type="first" r:id="rId15"/>
      <w:footerReference w:type="first" r:id="rId16"/>
      <w:pgSz w:w="11909" w:h="16834"/>
      <w:pgMar w:top="1814"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D6D1" w14:textId="77777777" w:rsidR="00A62598" w:rsidRDefault="00A62598">
      <w:pPr>
        <w:spacing w:line="240" w:lineRule="auto"/>
      </w:pPr>
      <w:r>
        <w:separator/>
      </w:r>
    </w:p>
  </w:endnote>
  <w:endnote w:type="continuationSeparator" w:id="0">
    <w:p w14:paraId="7FE03ECD" w14:textId="77777777" w:rsidR="00A62598" w:rsidRDefault="00A62598">
      <w:pPr>
        <w:spacing w:line="240" w:lineRule="auto"/>
      </w:pPr>
      <w:r>
        <w:continuationSeparator/>
      </w:r>
    </w:p>
  </w:endnote>
  <w:endnote w:type="continuationNotice" w:id="1">
    <w:p w14:paraId="2B3586F1" w14:textId="77777777" w:rsidR="00A62598" w:rsidRDefault="00A62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0BE7" w14:textId="1740A840" w:rsidR="009A1C7B" w:rsidRDefault="009A1C7B" w:rsidP="519C0E2D">
    <w:pPr>
      <w:pBdr>
        <w:top w:val="nil"/>
        <w:left w:val="nil"/>
        <w:bottom w:val="nil"/>
        <w:right w:val="nil"/>
        <w:between w:val="nil"/>
      </w:pBdr>
      <w:tabs>
        <w:tab w:val="center" w:pos="4513"/>
        <w:tab w:val="right" w:pos="9026"/>
        <w:tab w:val="right" w:pos="9029"/>
      </w:tabs>
      <w:spacing w:line="240" w:lineRule="auto"/>
      <w:jc w:val="left"/>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1806"/>
      <w:gridCol w:w="2266"/>
      <w:gridCol w:w="2249"/>
      <w:gridCol w:w="3308"/>
    </w:tblGrid>
    <w:tr w:rsidR="519C0E2D" w14:paraId="2871966E" w14:textId="77777777" w:rsidTr="519C0E2D">
      <w:trPr>
        <w:trHeight w:val="990"/>
      </w:trPr>
      <w:tc>
        <w:tcPr>
          <w:tcW w:w="1860" w:type="dxa"/>
          <w:tcMar>
            <w:left w:w="165" w:type="dxa"/>
            <w:right w:w="105" w:type="dxa"/>
          </w:tcMar>
        </w:tcPr>
        <w:p w14:paraId="209A3219" w14:textId="09926CEF" w:rsidR="519C0E2D" w:rsidRDefault="519C0E2D" w:rsidP="519C0E2D">
          <w:pPr>
            <w:spacing w:afterAutospacing="1" w:line="336" w:lineRule="auto"/>
            <w:rPr>
              <w:rFonts w:ascii="Arial" w:eastAsia="Arial" w:hAnsi="Arial" w:cs="Arial"/>
              <w:color w:val="002060"/>
              <w:sz w:val="14"/>
              <w:szCs w:val="14"/>
            </w:rPr>
          </w:pPr>
          <w:hyperlink r:id="rId1">
            <w:r w:rsidRPr="519C0E2D">
              <w:rPr>
                <w:rStyle w:val="Hyperlink"/>
                <w:rFonts w:ascii="Arial" w:eastAsia="Arial" w:hAnsi="Arial" w:cs="Arial"/>
                <w:b/>
                <w:bCs/>
                <w:sz w:val="14"/>
                <w:szCs w:val="14"/>
              </w:rPr>
              <w:t>www.geant.org</w:t>
            </w:r>
          </w:hyperlink>
        </w:p>
      </w:tc>
      <w:tc>
        <w:tcPr>
          <w:tcW w:w="2400" w:type="dxa"/>
          <w:tcMar>
            <w:left w:w="165" w:type="dxa"/>
            <w:right w:w="105" w:type="dxa"/>
          </w:tcMar>
          <w:vAlign w:val="bottom"/>
        </w:tcPr>
        <w:p w14:paraId="6214690E" w14:textId="040844C3" w:rsidR="519C0E2D" w:rsidRDefault="519C0E2D" w:rsidP="519C0E2D">
          <w:pPr>
            <w:spacing w:afterAutospacing="1" w:line="336" w:lineRule="auto"/>
            <w:rPr>
              <w:rFonts w:ascii="Arial" w:eastAsia="Arial" w:hAnsi="Arial" w:cs="Arial"/>
              <w:color w:val="002060"/>
              <w:sz w:val="13"/>
              <w:szCs w:val="13"/>
            </w:rPr>
          </w:pPr>
          <w:r w:rsidRPr="519C0E2D">
            <w:rPr>
              <w:rFonts w:ascii="Arial" w:eastAsia="Arial" w:hAnsi="Arial" w:cs="Arial"/>
              <w:b/>
              <w:bCs/>
              <w:color w:val="002060"/>
              <w:sz w:val="13"/>
              <w:szCs w:val="13"/>
            </w:rPr>
            <w:t>Registered Address</w:t>
          </w:r>
          <w:r>
            <w:br/>
          </w:r>
          <w:proofErr w:type="spellStart"/>
          <w:r w:rsidRPr="519C0E2D">
            <w:rPr>
              <w:rFonts w:ascii="Arial" w:eastAsia="Arial" w:hAnsi="Arial" w:cs="Arial"/>
              <w:color w:val="002060"/>
              <w:sz w:val="13"/>
              <w:szCs w:val="13"/>
            </w:rPr>
            <w:t>Hoekenrode</w:t>
          </w:r>
          <w:proofErr w:type="spellEnd"/>
          <w:r w:rsidRPr="519C0E2D">
            <w:rPr>
              <w:rFonts w:ascii="Arial" w:eastAsia="Arial" w:hAnsi="Arial" w:cs="Arial"/>
              <w:color w:val="002060"/>
              <w:sz w:val="13"/>
              <w:szCs w:val="13"/>
            </w:rPr>
            <w:t xml:space="preserve"> 3</w:t>
          </w:r>
          <w:r>
            <w:br/>
          </w:r>
          <w:r w:rsidRPr="519C0E2D">
            <w:rPr>
              <w:rFonts w:ascii="Arial" w:eastAsia="Arial" w:hAnsi="Arial" w:cs="Arial"/>
              <w:color w:val="002060"/>
              <w:sz w:val="13"/>
              <w:szCs w:val="13"/>
            </w:rPr>
            <w:t>1102 BR Amsterdam</w:t>
          </w:r>
          <w:r>
            <w:br/>
          </w:r>
          <w:r w:rsidRPr="519C0E2D">
            <w:rPr>
              <w:rFonts w:ascii="Arial" w:eastAsia="Arial" w:hAnsi="Arial" w:cs="Arial"/>
              <w:color w:val="002060"/>
              <w:sz w:val="13"/>
              <w:szCs w:val="13"/>
            </w:rPr>
            <w:t>The Netherlands</w:t>
          </w:r>
          <w:r>
            <w:br/>
          </w:r>
          <w:r w:rsidRPr="519C0E2D">
            <w:rPr>
              <w:rFonts w:ascii="Arial" w:eastAsia="Arial" w:hAnsi="Arial" w:cs="Arial"/>
              <w:color w:val="002060"/>
              <w:sz w:val="13"/>
              <w:szCs w:val="13"/>
            </w:rPr>
            <w:t>Tel. +31. (0) 20 5304488</w:t>
          </w:r>
        </w:p>
      </w:tc>
      <w:tc>
        <w:tcPr>
          <w:tcW w:w="2385" w:type="dxa"/>
          <w:tcMar>
            <w:left w:w="165" w:type="dxa"/>
            <w:right w:w="105" w:type="dxa"/>
          </w:tcMar>
          <w:vAlign w:val="bottom"/>
        </w:tcPr>
        <w:p w14:paraId="3FCAE2F5" w14:textId="02FD9392" w:rsidR="519C0E2D" w:rsidRDefault="519C0E2D" w:rsidP="519C0E2D">
          <w:pPr>
            <w:spacing w:afterAutospacing="1" w:line="336" w:lineRule="auto"/>
            <w:rPr>
              <w:rFonts w:ascii="Arial" w:eastAsia="Arial" w:hAnsi="Arial" w:cs="Arial"/>
              <w:color w:val="002060"/>
              <w:sz w:val="13"/>
              <w:szCs w:val="13"/>
            </w:rPr>
          </w:pPr>
          <w:r w:rsidRPr="519C0E2D">
            <w:rPr>
              <w:rFonts w:ascii="Arial" w:eastAsia="Arial" w:hAnsi="Arial" w:cs="Arial"/>
              <w:b/>
              <w:bCs/>
              <w:color w:val="002060"/>
              <w:sz w:val="13"/>
              <w:szCs w:val="13"/>
            </w:rPr>
            <w:t>UK Branch Address</w:t>
          </w:r>
          <w:r>
            <w:br/>
          </w:r>
          <w:r w:rsidRPr="519C0E2D">
            <w:rPr>
              <w:rFonts w:ascii="Arial" w:eastAsia="Arial" w:hAnsi="Arial" w:cs="Arial"/>
              <w:color w:val="002060"/>
              <w:sz w:val="13"/>
              <w:szCs w:val="13"/>
            </w:rPr>
            <w:t>City House</w:t>
          </w:r>
          <w:r>
            <w:br/>
          </w:r>
          <w:r w:rsidRPr="519C0E2D">
            <w:rPr>
              <w:rFonts w:ascii="Arial" w:eastAsia="Arial" w:hAnsi="Arial" w:cs="Arial"/>
              <w:color w:val="002060"/>
              <w:sz w:val="13"/>
              <w:szCs w:val="13"/>
            </w:rPr>
            <w:t>126-130 Hills Road</w:t>
          </w:r>
          <w:r>
            <w:br/>
          </w:r>
          <w:r w:rsidRPr="519C0E2D">
            <w:rPr>
              <w:rFonts w:ascii="Arial" w:eastAsia="Arial" w:hAnsi="Arial" w:cs="Arial"/>
              <w:color w:val="002060"/>
              <w:sz w:val="13"/>
              <w:szCs w:val="13"/>
            </w:rPr>
            <w:t>Cambridge, CB2 1PQ, UK</w:t>
          </w:r>
          <w:r>
            <w:br/>
          </w:r>
          <w:r w:rsidRPr="519C0E2D">
            <w:rPr>
              <w:rFonts w:ascii="Arial" w:eastAsia="Arial" w:hAnsi="Arial" w:cs="Arial"/>
              <w:color w:val="002060"/>
              <w:sz w:val="13"/>
              <w:szCs w:val="13"/>
            </w:rPr>
            <w:t>Tel. +44 (0) 1223 371 300</w:t>
          </w:r>
        </w:p>
      </w:tc>
      <w:tc>
        <w:tcPr>
          <w:tcW w:w="3540" w:type="dxa"/>
          <w:tcMar>
            <w:left w:w="165" w:type="dxa"/>
            <w:right w:w="105" w:type="dxa"/>
          </w:tcMar>
          <w:vAlign w:val="bottom"/>
        </w:tcPr>
        <w:p w14:paraId="2F0950EB" w14:textId="571B6546" w:rsidR="519C0E2D" w:rsidRDefault="519C0E2D" w:rsidP="519C0E2D">
          <w:pPr>
            <w:spacing w:afterAutospacing="1" w:line="336" w:lineRule="auto"/>
            <w:rPr>
              <w:rFonts w:ascii="Arial" w:eastAsia="Arial" w:hAnsi="Arial" w:cs="Arial"/>
              <w:color w:val="002060"/>
              <w:sz w:val="13"/>
              <w:szCs w:val="13"/>
            </w:rPr>
          </w:pPr>
          <w:r w:rsidRPr="519C0E2D">
            <w:rPr>
              <w:rFonts w:ascii="Arial" w:eastAsia="Arial" w:hAnsi="Arial" w:cs="Arial"/>
              <w:color w:val="002060"/>
              <w:sz w:val="13"/>
              <w:szCs w:val="13"/>
            </w:rPr>
            <w:t xml:space="preserve">GÉANT Vereniging (Association) is registered with </w:t>
          </w:r>
          <w:r>
            <w:br/>
          </w:r>
          <w:r w:rsidRPr="519C0E2D">
            <w:rPr>
              <w:rFonts w:ascii="Arial" w:eastAsia="Arial" w:hAnsi="Arial" w:cs="Arial"/>
              <w:color w:val="002060"/>
              <w:sz w:val="13"/>
              <w:szCs w:val="13"/>
            </w:rPr>
            <w:t>the Chamber of Commerce in Amsterdam with registration number 40535155 and operates in the UK as a branch of GÉANT Vereniging (UK establishment number BR019807)</w:t>
          </w:r>
        </w:p>
      </w:tc>
    </w:tr>
  </w:tbl>
  <w:p w14:paraId="5DB1F053" w14:textId="79B663A5" w:rsidR="519C0E2D" w:rsidRDefault="519C0E2D" w:rsidP="519C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B9B5" w14:textId="77777777" w:rsidR="00A62598" w:rsidRDefault="00A62598">
      <w:pPr>
        <w:spacing w:line="240" w:lineRule="auto"/>
      </w:pPr>
      <w:r>
        <w:separator/>
      </w:r>
    </w:p>
  </w:footnote>
  <w:footnote w:type="continuationSeparator" w:id="0">
    <w:p w14:paraId="481682CA" w14:textId="77777777" w:rsidR="00A62598" w:rsidRDefault="00A62598">
      <w:pPr>
        <w:spacing w:line="240" w:lineRule="auto"/>
      </w:pPr>
      <w:r>
        <w:continuationSeparator/>
      </w:r>
    </w:p>
  </w:footnote>
  <w:footnote w:type="continuationNotice" w:id="1">
    <w:p w14:paraId="180DB9B7" w14:textId="77777777" w:rsidR="00A62598" w:rsidRDefault="00A625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A3B" w14:textId="711449E5" w:rsidR="009A1C7B" w:rsidRDefault="2E5D4292" w:rsidP="2E5D4292">
    <w:pPr>
      <w:pBdr>
        <w:top w:val="nil"/>
        <w:left w:val="nil"/>
        <w:bottom w:val="nil"/>
        <w:right w:val="nil"/>
        <w:between w:val="nil"/>
      </w:pBdr>
      <w:tabs>
        <w:tab w:val="center" w:pos="4513"/>
        <w:tab w:val="right" w:pos="9026"/>
        <w:tab w:val="right" w:pos="9029"/>
      </w:tabs>
      <w:spacing w:line="240" w:lineRule="auto"/>
      <w:jc w:val="left"/>
    </w:pPr>
    <w:r>
      <w:rPr>
        <w:noProof/>
      </w:rPr>
      <w:drawing>
        <wp:anchor distT="0" distB="0" distL="114300" distR="114300" simplePos="0" relativeHeight="251658240" behindDoc="0" locked="0" layoutInCell="1" allowOverlap="1" wp14:anchorId="41191F4B" wp14:editId="69AEA5A3">
          <wp:simplePos x="0" y="0"/>
          <wp:positionH relativeFrom="column">
            <wp:posOffset>4073732</wp:posOffset>
          </wp:positionH>
          <wp:positionV relativeFrom="paragraph">
            <wp:posOffset>-344031</wp:posOffset>
          </wp:positionV>
          <wp:extent cx="2058150" cy="981106"/>
          <wp:effectExtent l="0" t="0" r="0" b="0"/>
          <wp:wrapSquare wrapText="bothSides"/>
          <wp:docPr id="1267720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8150" cy="981106"/>
                  </a:xfrm>
                  <a:prstGeom prst="rect">
                    <a:avLst/>
                  </a:prstGeom>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19C0E2D" w14:paraId="0765C953" w14:textId="77777777" w:rsidTr="519C0E2D">
      <w:trPr>
        <w:trHeight w:val="300"/>
      </w:trPr>
      <w:tc>
        <w:tcPr>
          <w:tcW w:w="3005" w:type="dxa"/>
        </w:tcPr>
        <w:p w14:paraId="317B32DF" w14:textId="4B9CA5FB" w:rsidR="519C0E2D" w:rsidRDefault="519C0E2D" w:rsidP="519C0E2D">
          <w:pPr>
            <w:pStyle w:val="Header"/>
            <w:ind w:left="-115"/>
            <w:jc w:val="left"/>
          </w:pPr>
        </w:p>
      </w:tc>
      <w:tc>
        <w:tcPr>
          <w:tcW w:w="3005" w:type="dxa"/>
        </w:tcPr>
        <w:p w14:paraId="19AEE304" w14:textId="7C97976D" w:rsidR="519C0E2D" w:rsidRDefault="519C0E2D" w:rsidP="519C0E2D">
          <w:pPr>
            <w:pStyle w:val="Header"/>
            <w:jc w:val="center"/>
          </w:pPr>
        </w:p>
      </w:tc>
      <w:tc>
        <w:tcPr>
          <w:tcW w:w="3005" w:type="dxa"/>
        </w:tcPr>
        <w:p w14:paraId="159111E1" w14:textId="45FC1794" w:rsidR="519C0E2D" w:rsidRDefault="519C0E2D" w:rsidP="519C0E2D">
          <w:pPr>
            <w:pStyle w:val="Header"/>
            <w:ind w:right="-115"/>
            <w:jc w:val="right"/>
          </w:pPr>
        </w:p>
      </w:tc>
    </w:tr>
  </w:tbl>
  <w:p w14:paraId="0AABE9A9" w14:textId="7BDA55D4" w:rsidR="519C0E2D" w:rsidRDefault="519C0E2D" w:rsidP="519C0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0B0"/>
    <w:multiLevelType w:val="multilevel"/>
    <w:tmpl w:val="3464548C"/>
    <w:lvl w:ilvl="0">
      <w:start w:val="1"/>
      <w:numFmt w:val="bullet"/>
      <w:lvlText w:val="●"/>
      <w:lvlJc w:val="left"/>
      <w:pPr>
        <w:ind w:left="714" w:hanging="357"/>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697E22"/>
    <w:multiLevelType w:val="multilevel"/>
    <w:tmpl w:val="6994D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1782A"/>
    <w:multiLevelType w:val="multilevel"/>
    <w:tmpl w:val="7FE62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060A0B"/>
    <w:multiLevelType w:val="hybridMultilevel"/>
    <w:tmpl w:val="F462DB16"/>
    <w:lvl w:ilvl="0" w:tplc="88CCA186">
      <w:start w:val="1"/>
      <w:numFmt w:val="bullet"/>
      <w:lvlText w:val=""/>
      <w:lvlJc w:val="left"/>
      <w:pPr>
        <w:ind w:left="720" w:hanging="360"/>
      </w:pPr>
      <w:rPr>
        <w:rFonts w:ascii="Symbol" w:hAnsi="Symbol" w:hint="default"/>
      </w:rPr>
    </w:lvl>
    <w:lvl w:ilvl="1" w:tplc="1D3AC4E8">
      <w:start w:val="1"/>
      <w:numFmt w:val="bullet"/>
      <w:lvlText w:val="o"/>
      <w:lvlJc w:val="left"/>
      <w:pPr>
        <w:ind w:left="1440" w:hanging="360"/>
      </w:pPr>
      <w:rPr>
        <w:rFonts w:ascii="Courier New" w:hAnsi="Courier New" w:hint="default"/>
      </w:rPr>
    </w:lvl>
    <w:lvl w:ilvl="2" w:tplc="978C607E">
      <w:start w:val="1"/>
      <w:numFmt w:val="bullet"/>
      <w:lvlText w:val=""/>
      <w:lvlJc w:val="left"/>
      <w:pPr>
        <w:ind w:left="2160" w:hanging="360"/>
      </w:pPr>
      <w:rPr>
        <w:rFonts w:ascii="Wingdings" w:hAnsi="Wingdings" w:hint="default"/>
      </w:rPr>
    </w:lvl>
    <w:lvl w:ilvl="3" w:tplc="2E98F57C">
      <w:start w:val="1"/>
      <w:numFmt w:val="bullet"/>
      <w:lvlText w:val=""/>
      <w:lvlJc w:val="left"/>
      <w:pPr>
        <w:ind w:left="2880" w:hanging="360"/>
      </w:pPr>
      <w:rPr>
        <w:rFonts w:ascii="Symbol" w:hAnsi="Symbol" w:hint="default"/>
      </w:rPr>
    </w:lvl>
    <w:lvl w:ilvl="4" w:tplc="490E154A">
      <w:start w:val="1"/>
      <w:numFmt w:val="bullet"/>
      <w:lvlText w:val="o"/>
      <w:lvlJc w:val="left"/>
      <w:pPr>
        <w:ind w:left="3600" w:hanging="360"/>
      </w:pPr>
      <w:rPr>
        <w:rFonts w:ascii="Courier New" w:hAnsi="Courier New" w:hint="default"/>
      </w:rPr>
    </w:lvl>
    <w:lvl w:ilvl="5" w:tplc="3F527AFE">
      <w:start w:val="1"/>
      <w:numFmt w:val="bullet"/>
      <w:lvlText w:val=""/>
      <w:lvlJc w:val="left"/>
      <w:pPr>
        <w:ind w:left="4320" w:hanging="360"/>
      </w:pPr>
      <w:rPr>
        <w:rFonts w:ascii="Wingdings" w:hAnsi="Wingdings" w:hint="default"/>
      </w:rPr>
    </w:lvl>
    <w:lvl w:ilvl="6" w:tplc="C70C9000">
      <w:start w:val="1"/>
      <w:numFmt w:val="bullet"/>
      <w:lvlText w:val=""/>
      <w:lvlJc w:val="left"/>
      <w:pPr>
        <w:ind w:left="5040" w:hanging="360"/>
      </w:pPr>
      <w:rPr>
        <w:rFonts w:ascii="Symbol" w:hAnsi="Symbol" w:hint="default"/>
      </w:rPr>
    </w:lvl>
    <w:lvl w:ilvl="7" w:tplc="B7942792">
      <w:start w:val="1"/>
      <w:numFmt w:val="bullet"/>
      <w:lvlText w:val="o"/>
      <w:lvlJc w:val="left"/>
      <w:pPr>
        <w:ind w:left="5760" w:hanging="360"/>
      </w:pPr>
      <w:rPr>
        <w:rFonts w:ascii="Courier New" w:hAnsi="Courier New" w:hint="default"/>
      </w:rPr>
    </w:lvl>
    <w:lvl w:ilvl="8" w:tplc="720233AE">
      <w:start w:val="1"/>
      <w:numFmt w:val="bullet"/>
      <w:lvlText w:val=""/>
      <w:lvlJc w:val="left"/>
      <w:pPr>
        <w:ind w:left="6480" w:hanging="360"/>
      </w:pPr>
      <w:rPr>
        <w:rFonts w:ascii="Wingdings" w:hAnsi="Wingdings" w:hint="default"/>
      </w:rPr>
    </w:lvl>
  </w:abstractNum>
  <w:abstractNum w:abstractNumId="4" w15:restartNumberingAfterBreak="0">
    <w:nsid w:val="366C175B"/>
    <w:multiLevelType w:val="multilevel"/>
    <w:tmpl w:val="40CC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0A62E1"/>
    <w:multiLevelType w:val="multilevel"/>
    <w:tmpl w:val="3990A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AC3B8B"/>
    <w:multiLevelType w:val="multilevel"/>
    <w:tmpl w:val="EFCE4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3E7658"/>
    <w:multiLevelType w:val="multilevel"/>
    <w:tmpl w:val="A2227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7B190B"/>
    <w:multiLevelType w:val="multilevel"/>
    <w:tmpl w:val="06BCC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7DBB95"/>
    <w:multiLevelType w:val="hybridMultilevel"/>
    <w:tmpl w:val="88580968"/>
    <w:lvl w:ilvl="0" w:tplc="5D7A90B6">
      <w:start w:val="1"/>
      <w:numFmt w:val="bullet"/>
      <w:lvlText w:val=""/>
      <w:lvlJc w:val="left"/>
      <w:pPr>
        <w:ind w:left="720" w:hanging="360"/>
      </w:pPr>
      <w:rPr>
        <w:rFonts w:ascii="Symbol" w:hAnsi="Symbol" w:hint="default"/>
      </w:rPr>
    </w:lvl>
    <w:lvl w:ilvl="1" w:tplc="13A60C48">
      <w:start w:val="1"/>
      <w:numFmt w:val="bullet"/>
      <w:lvlText w:val="o"/>
      <w:lvlJc w:val="left"/>
      <w:pPr>
        <w:ind w:left="1440" w:hanging="360"/>
      </w:pPr>
      <w:rPr>
        <w:rFonts w:ascii="Courier New" w:hAnsi="Courier New" w:hint="default"/>
      </w:rPr>
    </w:lvl>
    <w:lvl w:ilvl="2" w:tplc="9F9CBDB2">
      <w:start w:val="1"/>
      <w:numFmt w:val="bullet"/>
      <w:lvlText w:val=""/>
      <w:lvlJc w:val="left"/>
      <w:pPr>
        <w:ind w:left="2160" w:hanging="360"/>
      </w:pPr>
      <w:rPr>
        <w:rFonts w:ascii="Wingdings" w:hAnsi="Wingdings" w:hint="default"/>
      </w:rPr>
    </w:lvl>
    <w:lvl w:ilvl="3" w:tplc="0CFC7A28">
      <w:start w:val="1"/>
      <w:numFmt w:val="bullet"/>
      <w:lvlText w:val=""/>
      <w:lvlJc w:val="left"/>
      <w:pPr>
        <w:ind w:left="2880" w:hanging="360"/>
      </w:pPr>
      <w:rPr>
        <w:rFonts w:ascii="Symbol" w:hAnsi="Symbol" w:hint="default"/>
      </w:rPr>
    </w:lvl>
    <w:lvl w:ilvl="4" w:tplc="BCA454B8">
      <w:start w:val="1"/>
      <w:numFmt w:val="bullet"/>
      <w:lvlText w:val="o"/>
      <w:lvlJc w:val="left"/>
      <w:pPr>
        <w:ind w:left="3600" w:hanging="360"/>
      </w:pPr>
      <w:rPr>
        <w:rFonts w:ascii="Courier New" w:hAnsi="Courier New" w:hint="default"/>
      </w:rPr>
    </w:lvl>
    <w:lvl w:ilvl="5" w:tplc="9ABCCBD0">
      <w:start w:val="1"/>
      <w:numFmt w:val="bullet"/>
      <w:lvlText w:val=""/>
      <w:lvlJc w:val="left"/>
      <w:pPr>
        <w:ind w:left="4320" w:hanging="360"/>
      </w:pPr>
      <w:rPr>
        <w:rFonts w:ascii="Wingdings" w:hAnsi="Wingdings" w:hint="default"/>
      </w:rPr>
    </w:lvl>
    <w:lvl w:ilvl="6" w:tplc="98CEC582">
      <w:start w:val="1"/>
      <w:numFmt w:val="bullet"/>
      <w:lvlText w:val=""/>
      <w:lvlJc w:val="left"/>
      <w:pPr>
        <w:ind w:left="5040" w:hanging="360"/>
      </w:pPr>
      <w:rPr>
        <w:rFonts w:ascii="Symbol" w:hAnsi="Symbol" w:hint="default"/>
      </w:rPr>
    </w:lvl>
    <w:lvl w:ilvl="7" w:tplc="C2667B44">
      <w:start w:val="1"/>
      <w:numFmt w:val="bullet"/>
      <w:lvlText w:val="o"/>
      <w:lvlJc w:val="left"/>
      <w:pPr>
        <w:ind w:left="5760" w:hanging="360"/>
      </w:pPr>
      <w:rPr>
        <w:rFonts w:ascii="Courier New" w:hAnsi="Courier New" w:hint="default"/>
      </w:rPr>
    </w:lvl>
    <w:lvl w:ilvl="8" w:tplc="7B0CE034">
      <w:start w:val="1"/>
      <w:numFmt w:val="bullet"/>
      <w:lvlText w:val=""/>
      <w:lvlJc w:val="left"/>
      <w:pPr>
        <w:ind w:left="6480" w:hanging="360"/>
      </w:pPr>
      <w:rPr>
        <w:rFonts w:ascii="Wingdings" w:hAnsi="Wingdings" w:hint="default"/>
      </w:rPr>
    </w:lvl>
  </w:abstractNum>
  <w:abstractNum w:abstractNumId="10" w15:restartNumberingAfterBreak="0">
    <w:nsid w:val="6AEA5F38"/>
    <w:multiLevelType w:val="multilevel"/>
    <w:tmpl w:val="4CE68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E81611"/>
    <w:multiLevelType w:val="multilevel"/>
    <w:tmpl w:val="74AEC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5E5369"/>
    <w:multiLevelType w:val="multilevel"/>
    <w:tmpl w:val="3C84F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412ED8"/>
    <w:multiLevelType w:val="multilevel"/>
    <w:tmpl w:val="C2D4F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1234819">
    <w:abstractNumId w:val="9"/>
  </w:num>
  <w:num w:numId="2" w16cid:durableId="625307614">
    <w:abstractNumId w:val="3"/>
  </w:num>
  <w:num w:numId="3" w16cid:durableId="1899897135">
    <w:abstractNumId w:val="6"/>
  </w:num>
  <w:num w:numId="4" w16cid:durableId="830294866">
    <w:abstractNumId w:val="7"/>
  </w:num>
  <w:num w:numId="5" w16cid:durableId="1080447317">
    <w:abstractNumId w:val="2"/>
  </w:num>
  <w:num w:numId="6" w16cid:durableId="1592542797">
    <w:abstractNumId w:val="8"/>
  </w:num>
  <w:num w:numId="7" w16cid:durableId="2134902611">
    <w:abstractNumId w:val="10"/>
  </w:num>
  <w:num w:numId="8" w16cid:durableId="1234855289">
    <w:abstractNumId w:val="5"/>
  </w:num>
  <w:num w:numId="9" w16cid:durableId="952443161">
    <w:abstractNumId w:val="1"/>
  </w:num>
  <w:num w:numId="10" w16cid:durableId="147140123">
    <w:abstractNumId w:val="12"/>
  </w:num>
  <w:num w:numId="11" w16cid:durableId="998926069">
    <w:abstractNumId w:val="0"/>
  </w:num>
  <w:num w:numId="12" w16cid:durableId="1419405654">
    <w:abstractNumId w:val="11"/>
  </w:num>
  <w:num w:numId="13" w16cid:durableId="197740121">
    <w:abstractNumId w:val="4"/>
  </w:num>
  <w:num w:numId="14" w16cid:durableId="1173957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B"/>
    <w:rsid w:val="000D064B"/>
    <w:rsid w:val="001126B0"/>
    <w:rsid w:val="00161989"/>
    <w:rsid w:val="00167E9D"/>
    <w:rsid w:val="00182F5F"/>
    <w:rsid w:val="001D493E"/>
    <w:rsid w:val="00263B73"/>
    <w:rsid w:val="002A7F89"/>
    <w:rsid w:val="00335052"/>
    <w:rsid w:val="00344269"/>
    <w:rsid w:val="003804EB"/>
    <w:rsid w:val="00397955"/>
    <w:rsid w:val="003A3B16"/>
    <w:rsid w:val="003E4B5A"/>
    <w:rsid w:val="005148CA"/>
    <w:rsid w:val="00704290"/>
    <w:rsid w:val="0080222C"/>
    <w:rsid w:val="00814D5B"/>
    <w:rsid w:val="00865D65"/>
    <w:rsid w:val="008A5CB7"/>
    <w:rsid w:val="00922907"/>
    <w:rsid w:val="009A1C7B"/>
    <w:rsid w:val="009E6AF6"/>
    <w:rsid w:val="00A24A4C"/>
    <w:rsid w:val="00A62598"/>
    <w:rsid w:val="00AC7DCA"/>
    <w:rsid w:val="00B71FE5"/>
    <w:rsid w:val="00BF68DB"/>
    <w:rsid w:val="00C0773C"/>
    <w:rsid w:val="00C165F7"/>
    <w:rsid w:val="00D42032"/>
    <w:rsid w:val="00E32B93"/>
    <w:rsid w:val="00EA78AA"/>
    <w:rsid w:val="00F33DF7"/>
    <w:rsid w:val="00F50B19"/>
    <w:rsid w:val="00FD44CB"/>
    <w:rsid w:val="048C3D49"/>
    <w:rsid w:val="10012924"/>
    <w:rsid w:val="104C8CF8"/>
    <w:rsid w:val="109285D0"/>
    <w:rsid w:val="1C15A4AF"/>
    <w:rsid w:val="20E7A303"/>
    <w:rsid w:val="22833ECF"/>
    <w:rsid w:val="233084B4"/>
    <w:rsid w:val="24626B2A"/>
    <w:rsid w:val="29052DBE"/>
    <w:rsid w:val="2E5D4292"/>
    <w:rsid w:val="2FF6230F"/>
    <w:rsid w:val="32AE207A"/>
    <w:rsid w:val="341C3682"/>
    <w:rsid w:val="344A7D3D"/>
    <w:rsid w:val="398A42C9"/>
    <w:rsid w:val="3AD72A12"/>
    <w:rsid w:val="3B61F8FC"/>
    <w:rsid w:val="3C26F011"/>
    <w:rsid w:val="42D13E3A"/>
    <w:rsid w:val="45D4E4CE"/>
    <w:rsid w:val="464EDA62"/>
    <w:rsid w:val="4A58541D"/>
    <w:rsid w:val="4AF251C9"/>
    <w:rsid w:val="504EA64F"/>
    <w:rsid w:val="519C0E2D"/>
    <w:rsid w:val="523CA2B9"/>
    <w:rsid w:val="5927C267"/>
    <w:rsid w:val="6E7ADAFC"/>
    <w:rsid w:val="6F25B7FC"/>
    <w:rsid w:val="708AE787"/>
    <w:rsid w:val="75EC3104"/>
    <w:rsid w:val="774C9343"/>
    <w:rsid w:val="7FB0D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FC24"/>
  <w15:docId w15:val="{979B327E-28D9-4F9B-8F77-88DD3B90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60" w:line="257" w:lineRule="auto"/>
      <w:outlineLvl w:val="0"/>
    </w:pPr>
    <w:rPr>
      <w:b/>
      <w:color w:val="004461"/>
      <w:sz w:val="36"/>
      <w:szCs w:val="36"/>
    </w:rPr>
  </w:style>
  <w:style w:type="paragraph" w:styleId="Heading2">
    <w:name w:val="heading 2"/>
    <w:basedOn w:val="Normal"/>
    <w:next w:val="Normal"/>
    <w:uiPriority w:val="9"/>
    <w:unhideWhenUsed/>
    <w:qFormat/>
    <w:pPr>
      <w:keepNext/>
      <w:keepLines/>
      <w:spacing w:after="120" w:line="240" w:lineRule="auto"/>
      <w:outlineLvl w:val="1"/>
    </w:pPr>
    <w:rPr>
      <w:b/>
      <w:sz w:val="28"/>
      <w:szCs w:val="28"/>
    </w:rPr>
  </w:style>
  <w:style w:type="paragraph" w:styleId="Heading3">
    <w:name w:val="heading 3"/>
    <w:basedOn w:val="Normal"/>
    <w:next w:val="Normal"/>
    <w:uiPriority w:val="9"/>
    <w:unhideWhenUsed/>
    <w:qFormat/>
    <w:pPr>
      <w:keepNext/>
      <w:keepLines/>
      <w:spacing w:after="160" w:line="257" w:lineRule="auto"/>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
    <w:basedOn w:val="Normal"/>
    <w:qFormat/>
    <w:pPr>
      <w:widowControl w:val="0"/>
      <w:tabs>
        <w:tab w:val="clear" w:pos="79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4"/>
      <w:szCs w:val="24"/>
      <w:lang w:bidi="en-GB"/>
    </w:rPr>
  </w:style>
  <w:style w:type="paragraph" w:styleId="Header">
    <w:name w:val="header"/>
    <w:basedOn w:val="Normal"/>
    <w:qFormat/>
    <w:pPr>
      <w:tabs>
        <w:tab w:val="center" w:pos="4513"/>
        <w:tab w:val="right" w:pos="9026"/>
      </w:tabs>
      <w:spacing w:line="240" w:lineRule="auto"/>
    </w:pPr>
    <w:rPr>
      <w:lang w:bidi="en-GB"/>
    </w:rPr>
  </w:style>
  <w:style w:type="paragraph" w:styleId="Footer">
    <w:name w:val="footer"/>
    <w:basedOn w:val="Normal"/>
    <w:qFormat/>
    <w:pPr>
      <w:tabs>
        <w:tab w:val="center" w:pos="4513"/>
        <w:tab w:val="right" w:pos="9026"/>
      </w:tabs>
      <w:spacing w:line="240" w:lineRule="auto"/>
    </w:pPr>
    <w:rPr>
      <w:lang w:bidi="en-GB"/>
    </w:rPr>
  </w:style>
  <w:style w:type="paragraph" w:styleId="CommentText">
    <w:name w:val="annotation text"/>
    <w:basedOn w:val="Normal"/>
    <w:qFormat/>
    <w:pPr>
      <w:spacing w:line="240" w:lineRule="auto"/>
    </w:pPr>
    <w:rPr>
      <w:sz w:val="20"/>
      <w:szCs w:val="20"/>
      <w:lang w:bidi="en-GB"/>
    </w:rPr>
  </w:style>
  <w:style w:type="character" w:customStyle="1" w:styleId="CommentTextChar">
    <w:name w:val="Comment Text Char"/>
    <w:qFormat/>
    <w:rPr>
      <w:sz w:val="20"/>
      <w:szCs w:val="20"/>
      <w:rtl w:val="0"/>
    </w:rPr>
  </w:style>
  <w:style w:type="character" w:styleId="CommentReference">
    <w:name w:val="annotation reference"/>
    <w:qFormat/>
    <w:rPr>
      <w:sz w:val="16"/>
      <w:szCs w:val="16"/>
      <w:rtl w:val="0"/>
    </w:rPr>
  </w:style>
  <w:style w:type="character" w:customStyle="1" w:styleId="HeaderChar">
    <w:name w:val="Header Char"/>
    <w:qFormat/>
    <w:rPr>
      <w:rtl w:val="0"/>
    </w:rPr>
  </w:style>
  <w:style w:type="character" w:customStyle="1" w:styleId="FooterChar">
    <w:name w:val="Footer Char"/>
    <w:qFormat/>
    <w:rPr>
      <w:rtl w:val="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519C0E2D"/>
    <w:rPr>
      <w:color w:val="0000FF"/>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71FE5"/>
  </w:style>
  <w:style w:type="character" w:customStyle="1" w:styleId="eop">
    <w:name w:val="eop"/>
    <w:basedOn w:val="DefaultParagraphFont"/>
    <w:rsid w:val="00B7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ea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YftP3fX1xLwSmbf5jcyqBkkbg==">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2ADEBCD2348F9409EDDB8F64D71C074" ma:contentTypeVersion="16" ma:contentTypeDescription="Create a new document." ma:contentTypeScope="" ma:versionID="b61a7e19ecf875c8c0aa1f341c6efed9">
  <xsd:schema xmlns:xsd="http://www.w3.org/2001/XMLSchema" xmlns:xs="http://www.w3.org/2001/XMLSchema" xmlns:p="http://schemas.microsoft.com/office/2006/metadata/properties" xmlns:ns2="e1ca6f28-fdbe-4066-9125-b43229b42521" xmlns:ns3="282ad65a-648b-438a-b662-8ba6a28112d0" targetNamespace="http://schemas.microsoft.com/office/2006/metadata/properties" ma:root="true" ma:fieldsID="d3f5e57b000f76eba90d992bc809700d" ns2:_="" ns3:_="">
    <xsd:import namespace="e1ca6f28-fdbe-4066-9125-b43229b42521"/>
    <xsd:import namespace="282ad65a-648b-438a-b662-8ba6a28112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a6f28-fdbe-4066-9125-b43229b425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8441c3-9c2d-4058-99e7-a74719ffc8dc}" ma:internalName="TaxCatchAll" ma:showField="CatchAllData" ma:web="e1ca6f28-fdbe-4066-9125-b43229b42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2ad65a-648b-438a-b662-8ba6a28112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a016d8-8629-4718-83e1-77943a6a4e7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partment" ma:index="25" nillable="true" ma:displayName="Department" ma:format="Dropdown" ma:internalName="Department">
      <xsd:simpleType>
        <xsd:restriction base="dms:Choice">
          <xsd:enumeration value="CEO"/>
          <xsd:enumeration value="CITO"/>
          <xsd:enumeration value="CCO"/>
          <xsd:enumeration value="CCRO"/>
          <xsd:enumeration value="CNO"/>
          <xsd:enumeration value="CPO"/>
          <xsd:enumeration value="C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ad65a-648b-438a-b662-8ba6a28112d0">
      <Terms xmlns="http://schemas.microsoft.com/office/infopath/2007/PartnerControls"/>
    </lcf76f155ced4ddcb4097134ff3c332f>
    <Department xmlns="282ad65a-648b-438a-b662-8ba6a28112d0" xsi:nil="true"/>
    <TaxCatchAll xmlns="e1ca6f28-fdbe-4066-9125-b43229b42521" xsi:nil="true"/>
    <_dlc_DocId xmlns="e1ca6f28-fdbe-4066-9125-b43229b42521">S3H7AMMHEPRQ-82520575-10537</_dlc_DocId>
    <_dlc_DocIdUrl xmlns="e1ca6f28-fdbe-4066-9125-b43229b42521">
      <Url>https://geantonline.sharepoint.com/sites/HRTeamGroup/_layouts/15/DocIdRedir.aspx?ID=S3H7AMMHEPRQ-82520575-10537</Url>
      <Description>S3H7AMMHEPRQ-82520575-10537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76EB13-8B1A-4EC2-A0CA-2DCEE93D0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a6f28-fdbe-4066-9125-b43229b42521"/>
    <ds:schemaRef ds:uri="282ad65a-648b-438a-b662-8ba6a2811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6E033-870F-484B-9158-416788190751}">
  <ds:schemaRefs>
    <ds:schemaRef ds:uri="http://schemas.microsoft.com/sharepoint/v3/contenttype/forms"/>
  </ds:schemaRefs>
</ds:datastoreItem>
</file>

<file path=customXml/itemProps4.xml><?xml version="1.0" encoding="utf-8"?>
<ds:datastoreItem xmlns:ds="http://schemas.openxmlformats.org/officeDocument/2006/customXml" ds:itemID="{147C9E81-6ED3-4FBF-A13C-BE39A2486804}">
  <ds:schemaRefs>
    <ds:schemaRef ds:uri="http://schemas.microsoft.com/office/2006/metadata/properties"/>
    <ds:schemaRef ds:uri="http://schemas.microsoft.com/office/infopath/2007/PartnerControls"/>
    <ds:schemaRef ds:uri="282ad65a-648b-438a-b662-8ba6a28112d0"/>
    <ds:schemaRef ds:uri="e1ca6f28-fdbe-4066-9125-b43229b42521"/>
  </ds:schemaRefs>
</ds:datastoreItem>
</file>

<file path=customXml/itemProps5.xml><?xml version="1.0" encoding="utf-8"?>
<ds:datastoreItem xmlns:ds="http://schemas.openxmlformats.org/officeDocument/2006/customXml" ds:itemID="{8FE04DD0-0E5B-492B-A453-A9AC03FDC2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892</Words>
  <Characters>5086</Characters>
  <Application>Microsoft Office Word</Application>
  <DocSecurity>4</DocSecurity>
  <Lines>42</Lines>
  <Paragraphs>11</Paragraphs>
  <ScaleCrop>false</ScaleCrop>
  <Company/>
  <LinksUpToDate>false</LinksUpToDate>
  <CharactersWithSpaces>5967</CharactersWithSpaces>
  <SharedDoc>false</SharedDoc>
  <HLinks>
    <vt:vector size="6" baseType="variant">
      <vt:variant>
        <vt:i4>3145786</vt:i4>
      </vt:variant>
      <vt:variant>
        <vt:i4>0</vt:i4>
      </vt:variant>
      <vt:variant>
        <vt:i4>0</vt:i4>
      </vt:variant>
      <vt:variant>
        <vt:i4>5</vt:i4>
      </vt:variant>
      <vt:variant>
        <vt:lpwstr>https://www.geant.org/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Nicol</dc:creator>
  <cp:keywords/>
  <cp:lastModifiedBy>André Lewis</cp:lastModifiedBy>
  <cp:revision>20</cp:revision>
  <dcterms:created xsi:type="dcterms:W3CDTF">2025-11-19T22:23:00Z</dcterms:created>
  <dcterms:modified xsi:type="dcterms:W3CDTF">2025-11-27T13:51:00Z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0x010100A2ADEBCD2348F9409EDDB8F64D71C074</vt:lpwstr>
  </property>
  <property fmtid="{D5CDD505-2E9C-101B-9397-08002B2CF9AE}" pid="3" name="_dlc_DocIdItemGuid">
    <vt:lpwstr>c1564226-4911-44ca-99c8-33b3135cc683</vt:lpwstr>
  </property>
  <property fmtid="{D5CDD505-2E9C-101B-9397-08002B2CF9AE}" pid="4" name="MediaServiceImageTags">
    <vt:lpwstr/>
  </property>
  <property fmtid="{D5CDD505-2E9C-101B-9397-08002B2CF9AE}" pid="5" name="docLang">
    <vt:lpwstr>en</vt:lpwstr>
  </property>
</Properties>
</file>